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147"/>
        <w:gridCol w:w="2459"/>
        <w:gridCol w:w="876"/>
        <w:gridCol w:w="4410"/>
        <w:gridCol w:w="90"/>
      </w:tblGrid>
      <w:tr w:rsidR="00375D15" w:rsidRPr="00D37093" w14:paraId="2FAA1286" w14:textId="77777777" w:rsidTr="002F2603">
        <w:trPr>
          <w:gridAfter w:val="1"/>
          <w:wAfter w:w="90" w:type="dxa"/>
        </w:trPr>
        <w:tc>
          <w:tcPr>
            <w:tcW w:w="1255" w:type="dxa"/>
            <w:gridSpan w:val="2"/>
            <w:vAlign w:val="center"/>
          </w:tcPr>
          <w:p w14:paraId="4D1DF792" w14:textId="76158D80" w:rsidR="006A2F41" w:rsidRPr="00850A84" w:rsidRDefault="0092473B" w:rsidP="00850A84">
            <w:pPr>
              <w:pStyle w:val="NormalWeb"/>
              <w:contextualSpacing/>
              <w:mirrorIndents/>
              <w:jc w:val="center"/>
              <w:rPr>
                <w:rFonts w:ascii="Calibri" w:eastAsia="Times New Roman" w:hAnsi="Calibri" w:cs="Calibri"/>
                <w:bCs/>
                <w:color w:val="000000"/>
                <w:sz w:val="22"/>
                <w:szCs w:val="22"/>
                <w:lang w:eastAsia="es-EC"/>
              </w:rPr>
            </w:pPr>
            <w:r w:rsidRPr="00850A84">
              <w:rPr>
                <w:rFonts w:ascii="Calibri" w:hAnsi="Calibri" w:cs="Calibri"/>
                <w:noProof/>
                <w:sz w:val="22"/>
                <w:szCs w:val="22"/>
                <w:lang w:val="en-US" w:eastAsia="en-US"/>
              </w:rPr>
              <w:drawing>
                <wp:inline distT="0" distB="0" distL="0" distR="0" wp14:anchorId="2A628DB6" wp14:editId="383576A6">
                  <wp:extent cx="477671" cy="477671"/>
                  <wp:effectExtent l="0" t="0" r="0" b="0"/>
                  <wp:docPr id="18489531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468" cy="489468"/>
                          </a:xfrm>
                          <a:prstGeom prst="rect">
                            <a:avLst/>
                          </a:prstGeom>
                          <a:noFill/>
                          <a:ln>
                            <a:noFill/>
                          </a:ln>
                        </pic:spPr>
                      </pic:pic>
                    </a:graphicData>
                  </a:graphic>
                </wp:inline>
              </w:drawing>
            </w:r>
          </w:p>
        </w:tc>
        <w:tc>
          <w:tcPr>
            <w:tcW w:w="2459" w:type="dxa"/>
            <w:vAlign w:val="center"/>
          </w:tcPr>
          <w:p w14:paraId="57D7AB29" w14:textId="2084C9FA" w:rsidR="006A2F41" w:rsidRPr="00850A84" w:rsidRDefault="00255410" w:rsidP="00850A84">
            <w:pPr>
              <w:pStyle w:val="NormalWeb"/>
              <w:contextualSpacing/>
              <w:mirrorIndents/>
              <w:jc w:val="center"/>
              <w:rPr>
                <w:rFonts w:ascii="Calibri" w:eastAsia="Times New Roman" w:hAnsi="Calibri" w:cs="Calibri"/>
                <w:bCs/>
                <w:color w:val="000000"/>
                <w:sz w:val="22"/>
                <w:szCs w:val="22"/>
                <w:lang w:eastAsia="es-EC"/>
              </w:rPr>
            </w:pPr>
            <w:r w:rsidRPr="00850A84">
              <w:rPr>
                <w:rFonts w:ascii="Calibri" w:hAnsi="Calibri" w:cs="Calibri"/>
                <w:noProof/>
                <w:sz w:val="22"/>
                <w:szCs w:val="22"/>
                <w:lang w:val="en-US" w:eastAsia="en-US"/>
              </w:rPr>
              <w:drawing>
                <wp:inline distT="0" distB="0" distL="0" distR="0" wp14:anchorId="2830D861" wp14:editId="28F7D5FE">
                  <wp:extent cx="914400" cy="490306"/>
                  <wp:effectExtent l="0" t="0" r="0" b="5080"/>
                  <wp:docPr id="203724367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942487" cy="505367"/>
                          </a:xfrm>
                          <a:prstGeom prst="rect">
                            <a:avLst/>
                          </a:prstGeom>
                          <a:noFill/>
                          <a:ln>
                            <a:noFill/>
                          </a:ln>
                        </pic:spPr>
                      </pic:pic>
                    </a:graphicData>
                  </a:graphic>
                </wp:inline>
              </w:drawing>
            </w:r>
          </w:p>
        </w:tc>
        <w:tc>
          <w:tcPr>
            <w:tcW w:w="5286" w:type="dxa"/>
            <w:gridSpan w:val="2"/>
            <w:vAlign w:val="center"/>
          </w:tcPr>
          <w:p w14:paraId="358021CD" w14:textId="77777777" w:rsidR="0084666C" w:rsidRPr="00850A84" w:rsidRDefault="0084666C" w:rsidP="00850A84">
            <w:pPr>
              <w:pStyle w:val="NormalWeb"/>
              <w:ind w:right="-108"/>
              <w:contextualSpacing/>
              <w:mirrorIndents/>
              <w:jc w:val="right"/>
              <w:rPr>
                <w:rFonts w:ascii="Calibri" w:eastAsia="Times New Roman" w:hAnsi="Calibri" w:cs="Calibri"/>
                <w:b/>
                <w:bCs/>
                <w:i/>
                <w:color w:val="000000"/>
                <w:sz w:val="22"/>
                <w:szCs w:val="22"/>
                <w:lang w:val="pt-BR" w:eastAsia="es-EC"/>
              </w:rPr>
            </w:pPr>
            <w:r w:rsidRPr="00850A84">
              <w:rPr>
                <w:rFonts w:ascii="Calibri" w:eastAsia="Times New Roman" w:hAnsi="Calibri" w:cs="Calibri"/>
                <w:b/>
                <w:bCs/>
                <w:i/>
                <w:color w:val="000000"/>
                <w:sz w:val="22"/>
                <w:szCs w:val="22"/>
                <w:lang w:val="pt-BR" w:eastAsia="es-EC"/>
              </w:rPr>
              <w:t xml:space="preserve">Revista Iberoamericana Ambiente &amp; </w:t>
            </w:r>
            <w:proofErr w:type="spellStart"/>
            <w:r w:rsidRPr="00850A84">
              <w:rPr>
                <w:rFonts w:ascii="Calibri" w:eastAsia="Times New Roman" w:hAnsi="Calibri" w:cs="Calibri"/>
                <w:b/>
                <w:bCs/>
                <w:i/>
                <w:color w:val="000000"/>
                <w:sz w:val="22"/>
                <w:szCs w:val="22"/>
                <w:lang w:val="pt-BR" w:eastAsia="es-EC"/>
              </w:rPr>
              <w:t>Sustentabilidad</w:t>
            </w:r>
            <w:proofErr w:type="spellEnd"/>
          </w:p>
          <w:p w14:paraId="0F9D77F0" w14:textId="5B6288EA" w:rsidR="0084666C" w:rsidRPr="00850A84" w:rsidRDefault="0084666C" w:rsidP="00850A84">
            <w:pPr>
              <w:pStyle w:val="NormalWeb"/>
              <w:ind w:right="-108"/>
              <w:contextualSpacing/>
              <w:mirrorIndents/>
              <w:jc w:val="right"/>
              <w:rPr>
                <w:rFonts w:ascii="Calibri" w:eastAsia="Times New Roman" w:hAnsi="Calibri" w:cs="Calibri"/>
                <w:bCs/>
                <w:color w:val="000000"/>
                <w:sz w:val="22"/>
                <w:szCs w:val="22"/>
                <w:lang w:val="pt-BR" w:eastAsia="es-EC"/>
              </w:rPr>
            </w:pPr>
            <w:r w:rsidRPr="00850A84">
              <w:rPr>
                <w:rFonts w:ascii="Calibri" w:eastAsia="Times New Roman" w:hAnsi="Calibri" w:cs="Calibri"/>
                <w:bCs/>
                <w:color w:val="000000"/>
                <w:sz w:val="22"/>
                <w:szCs w:val="22"/>
                <w:lang w:val="pt-BR" w:eastAsia="es-EC"/>
              </w:rPr>
              <w:t xml:space="preserve">ISSN: 2697-3510 </w:t>
            </w:r>
            <w:r w:rsidRPr="00850A84">
              <w:rPr>
                <w:rFonts w:ascii="Calibri" w:eastAsia="Times New Roman" w:hAnsi="Calibri" w:cs="Calibri"/>
                <w:b/>
                <w:color w:val="000000"/>
                <w:sz w:val="22"/>
                <w:szCs w:val="22"/>
                <w:lang w:val="pt-BR" w:eastAsia="es-EC"/>
              </w:rPr>
              <w:t xml:space="preserve">I </w:t>
            </w:r>
            <w:r w:rsidRPr="00850A84">
              <w:rPr>
                <w:rFonts w:ascii="Calibri" w:eastAsia="Times New Roman" w:hAnsi="Calibri" w:cs="Calibri"/>
                <w:bCs/>
                <w:color w:val="000000"/>
                <w:sz w:val="22"/>
                <w:szCs w:val="22"/>
                <w:lang w:val="pt-BR" w:eastAsia="es-EC"/>
              </w:rPr>
              <w:t xml:space="preserve">e-ISSN: 2697-3529 </w:t>
            </w:r>
            <w:r w:rsidRPr="00850A84">
              <w:rPr>
                <w:rFonts w:ascii="Calibri" w:eastAsia="Times New Roman" w:hAnsi="Calibri" w:cs="Calibri"/>
                <w:b/>
                <w:color w:val="000000"/>
                <w:sz w:val="22"/>
                <w:szCs w:val="22"/>
                <w:lang w:val="pt-BR" w:eastAsia="es-EC"/>
              </w:rPr>
              <w:t>I</w:t>
            </w:r>
            <w:r w:rsidRPr="00850A84">
              <w:rPr>
                <w:rFonts w:ascii="Calibri" w:eastAsia="Times New Roman" w:hAnsi="Calibri" w:cs="Calibri"/>
                <w:bCs/>
                <w:color w:val="000000"/>
                <w:sz w:val="22"/>
                <w:szCs w:val="22"/>
                <w:lang w:val="pt-BR" w:eastAsia="es-EC"/>
              </w:rPr>
              <w:t xml:space="preserve"> Vol. </w:t>
            </w:r>
            <w:r w:rsidR="00426C79">
              <w:rPr>
                <w:rFonts w:ascii="Calibri" w:eastAsia="Times New Roman" w:hAnsi="Calibri" w:cs="Calibri"/>
                <w:bCs/>
                <w:color w:val="000000"/>
                <w:sz w:val="22"/>
                <w:szCs w:val="22"/>
                <w:lang w:val="pt-BR" w:eastAsia="es-EC"/>
              </w:rPr>
              <w:t>9</w:t>
            </w:r>
            <w:r w:rsidRPr="00850A84">
              <w:rPr>
                <w:rFonts w:ascii="Calibri" w:eastAsia="Times New Roman" w:hAnsi="Calibri" w:cs="Calibri"/>
                <w:bCs/>
                <w:color w:val="000000"/>
                <w:sz w:val="22"/>
                <w:szCs w:val="22"/>
                <w:lang w:val="pt-BR" w:eastAsia="es-EC"/>
              </w:rPr>
              <w:t>, 202</w:t>
            </w:r>
            <w:r w:rsidR="00426C79">
              <w:rPr>
                <w:rFonts w:ascii="Calibri" w:eastAsia="Times New Roman" w:hAnsi="Calibri" w:cs="Calibri"/>
                <w:bCs/>
                <w:color w:val="000000"/>
                <w:sz w:val="22"/>
                <w:szCs w:val="22"/>
                <w:lang w:val="pt-BR" w:eastAsia="es-EC"/>
              </w:rPr>
              <w:t>6</w:t>
            </w:r>
          </w:p>
          <w:p w14:paraId="49A08F66" w14:textId="69F6FF5B" w:rsidR="00532C9A" w:rsidRPr="00850A84" w:rsidRDefault="0084666C" w:rsidP="00850A84">
            <w:pPr>
              <w:pStyle w:val="NormalWeb"/>
              <w:ind w:right="-108"/>
              <w:contextualSpacing/>
              <w:mirrorIndents/>
              <w:jc w:val="right"/>
              <w:rPr>
                <w:rFonts w:ascii="Calibri" w:eastAsia="Times New Roman" w:hAnsi="Calibri" w:cs="Calibri"/>
                <w:color w:val="000000"/>
                <w:sz w:val="22"/>
                <w:szCs w:val="22"/>
                <w:lang w:val="pt-BR" w:eastAsia="es-EC"/>
              </w:rPr>
            </w:pPr>
            <w:r w:rsidRPr="00850A84">
              <w:rPr>
                <w:rFonts w:ascii="Calibri" w:eastAsia="Times New Roman" w:hAnsi="Calibri" w:cs="Calibri"/>
                <w:color w:val="000000"/>
                <w:sz w:val="22"/>
                <w:szCs w:val="22"/>
                <w:lang w:val="pt-BR" w:eastAsia="es-EC"/>
              </w:rPr>
              <w:t>DOI:</w:t>
            </w:r>
            <w:r w:rsidRPr="00850A84">
              <w:rPr>
                <w:rFonts w:ascii="Calibri" w:hAnsi="Calibri" w:cs="Calibri"/>
                <w:sz w:val="22"/>
                <w:szCs w:val="22"/>
                <w:lang w:val="pt-BR"/>
              </w:rPr>
              <w:t xml:space="preserve"> </w:t>
            </w:r>
            <w:r w:rsidR="00075460" w:rsidRPr="00075460">
              <w:rPr>
                <w:rFonts w:ascii="Calibri" w:eastAsia="Times New Roman" w:hAnsi="Calibri" w:cs="Calibri"/>
                <w:color w:val="0070C0"/>
                <w:sz w:val="22"/>
                <w:szCs w:val="22"/>
                <w:u w:val="single"/>
                <w:lang w:val="pt-BR" w:eastAsia="es-EC"/>
              </w:rPr>
              <w:t>https://doi.org/10.46380/rias.v</w:t>
            </w:r>
            <w:r w:rsidR="001B037F">
              <w:rPr>
                <w:rFonts w:ascii="Calibri" w:eastAsia="Times New Roman" w:hAnsi="Calibri" w:cs="Calibri"/>
                <w:color w:val="0070C0"/>
                <w:sz w:val="22"/>
                <w:szCs w:val="22"/>
                <w:u w:val="single"/>
                <w:lang w:val="pt-BR" w:eastAsia="es-EC"/>
              </w:rPr>
              <w:t>9</w:t>
            </w:r>
            <w:r w:rsidR="00075460" w:rsidRPr="00075460">
              <w:rPr>
                <w:rFonts w:ascii="Calibri" w:eastAsia="Times New Roman" w:hAnsi="Calibri" w:cs="Calibri"/>
                <w:color w:val="0070C0"/>
                <w:sz w:val="22"/>
                <w:szCs w:val="22"/>
                <w:u w:val="single"/>
                <w:lang w:val="pt-BR" w:eastAsia="es-EC"/>
              </w:rPr>
              <w:t>.e</w:t>
            </w:r>
            <w:r w:rsidR="001B037F">
              <w:rPr>
                <w:rFonts w:ascii="Calibri" w:eastAsia="Times New Roman" w:hAnsi="Calibri" w:cs="Calibri"/>
                <w:color w:val="0070C0"/>
                <w:sz w:val="22"/>
                <w:szCs w:val="22"/>
                <w:u w:val="single"/>
                <w:lang w:val="pt-BR" w:eastAsia="es-EC"/>
              </w:rPr>
              <w:t>528</w:t>
            </w:r>
          </w:p>
        </w:tc>
      </w:tr>
      <w:tr w:rsidR="00375D15" w:rsidRPr="00D37093" w14:paraId="58EF77F2" w14:textId="77777777" w:rsidTr="002F2603">
        <w:trPr>
          <w:gridAfter w:val="1"/>
          <w:wAfter w:w="90" w:type="dxa"/>
        </w:trPr>
        <w:tc>
          <w:tcPr>
            <w:tcW w:w="4590" w:type="dxa"/>
            <w:gridSpan w:val="4"/>
          </w:tcPr>
          <w:p w14:paraId="2A9569AF" w14:textId="77777777" w:rsidR="0094209E" w:rsidRPr="00850A84" w:rsidRDefault="0094209E" w:rsidP="00850A84">
            <w:pPr>
              <w:pStyle w:val="NormalWeb"/>
              <w:contextualSpacing/>
              <w:mirrorIndents/>
              <w:jc w:val="both"/>
              <w:rPr>
                <w:rFonts w:ascii="Calibri" w:eastAsia="Times New Roman" w:hAnsi="Calibri" w:cs="Calibri"/>
                <w:b/>
                <w:bCs/>
                <w:color w:val="000000"/>
                <w:sz w:val="22"/>
                <w:szCs w:val="22"/>
                <w:lang w:val="pt-BR" w:eastAsia="es-EC"/>
              </w:rPr>
            </w:pPr>
          </w:p>
        </w:tc>
        <w:tc>
          <w:tcPr>
            <w:tcW w:w="4410" w:type="dxa"/>
          </w:tcPr>
          <w:p w14:paraId="41043198" w14:textId="77777777" w:rsidR="0094209E" w:rsidRPr="00850A84" w:rsidRDefault="0094209E" w:rsidP="00850A84">
            <w:pPr>
              <w:pStyle w:val="NormalWeb"/>
              <w:contextualSpacing/>
              <w:mirrorIndents/>
              <w:jc w:val="both"/>
              <w:rPr>
                <w:rFonts w:ascii="Calibri" w:eastAsia="Times New Roman" w:hAnsi="Calibri" w:cs="Calibri"/>
                <w:b/>
                <w:bCs/>
                <w:color w:val="000000"/>
                <w:sz w:val="22"/>
                <w:szCs w:val="22"/>
                <w:lang w:val="pt-BR" w:eastAsia="es-EC"/>
              </w:rPr>
            </w:pPr>
          </w:p>
        </w:tc>
      </w:tr>
      <w:tr w:rsidR="0094209E" w:rsidRPr="00850A84" w14:paraId="3292A338" w14:textId="77777777" w:rsidTr="002F2603">
        <w:trPr>
          <w:gridBefore w:val="1"/>
          <w:gridAfter w:val="1"/>
          <w:wBefore w:w="108" w:type="dxa"/>
          <w:wAfter w:w="90" w:type="dxa"/>
          <w:trHeight w:val="454"/>
        </w:trPr>
        <w:tc>
          <w:tcPr>
            <w:tcW w:w="8892" w:type="dxa"/>
            <w:gridSpan w:val="4"/>
            <w:shd w:val="clear" w:color="auto" w:fill="33CC33"/>
            <w:vAlign w:val="center"/>
          </w:tcPr>
          <w:p w14:paraId="75D9760C" w14:textId="4488ECC0" w:rsidR="0094209E" w:rsidRPr="00850A84" w:rsidRDefault="0082076D" w:rsidP="00850A84">
            <w:pPr>
              <w:pStyle w:val="NormalWeb"/>
              <w:contextualSpacing/>
              <w:mirrorIndents/>
              <w:jc w:val="center"/>
              <w:rPr>
                <w:rFonts w:ascii="Calibri" w:eastAsia="Times New Roman" w:hAnsi="Calibri" w:cs="Calibri"/>
                <w:b/>
                <w:bCs/>
                <w:caps/>
                <w:color w:val="FFFFFF" w:themeColor="background1"/>
                <w:sz w:val="22"/>
                <w:szCs w:val="22"/>
                <w:lang w:eastAsia="es-EC"/>
              </w:rPr>
            </w:pPr>
            <w:r w:rsidRPr="0082076D">
              <w:rPr>
                <w:rFonts w:ascii="Calibri" w:eastAsia="Times New Roman" w:hAnsi="Calibri" w:cs="Calibri"/>
                <w:b/>
                <w:bCs/>
                <w:caps/>
                <w:color w:val="FFFFFF" w:themeColor="background1"/>
                <w:sz w:val="22"/>
                <w:szCs w:val="22"/>
                <w:lang w:eastAsia="es-EC"/>
              </w:rPr>
              <w:t>Fuentes renovables de energía</w:t>
            </w:r>
          </w:p>
        </w:tc>
      </w:tr>
      <w:tr w:rsidR="00375D15" w:rsidRPr="00850A84" w14:paraId="680AC66E" w14:textId="77777777" w:rsidTr="002F2603">
        <w:trPr>
          <w:gridAfter w:val="1"/>
          <w:wAfter w:w="90" w:type="dxa"/>
        </w:trPr>
        <w:tc>
          <w:tcPr>
            <w:tcW w:w="4590" w:type="dxa"/>
            <w:gridSpan w:val="4"/>
          </w:tcPr>
          <w:p w14:paraId="3E8C74BC" w14:textId="77777777" w:rsidR="0094209E" w:rsidRPr="00850A84" w:rsidRDefault="0094209E" w:rsidP="00850A84">
            <w:pPr>
              <w:pStyle w:val="NormalWeb"/>
              <w:contextualSpacing/>
              <w:mirrorIndents/>
              <w:jc w:val="both"/>
              <w:rPr>
                <w:rFonts w:ascii="Calibri" w:eastAsia="Times New Roman" w:hAnsi="Calibri" w:cs="Calibri"/>
                <w:b/>
                <w:bCs/>
                <w:color w:val="000000"/>
                <w:sz w:val="22"/>
                <w:szCs w:val="22"/>
                <w:lang w:eastAsia="es-EC"/>
              </w:rPr>
            </w:pPr>
          </w:p>
        </w:tc>
        <w:tc>
          <w:tcPr>
            <w:tcW w:w="4410" w:type="dxa"/>
          </w:tcPr>
          <w:p w14:paraId="2D671E86" w14:textId="77777777" w:rsidR="0094209E" w:rsidRPr="00850A84" w:rsidRDefault="0094209E" w:rsidP="00850A84">
            <w:pPr>
              <w:pStyle w:val="NormalWeb"/>
              <w:contextualSpacing/>
              <w:mirrorIndents/>
              <w:jc w:val="both"/>
              <w:rPr>
                <w:rFonts w:ascii="Calibri" w:eastAsia="Times New Roman" w:hAnsi="Calibri" w:cs="Calibri"/>
                <w:b/>
                <w:bCs/>
                <w:color w:val="000000"/>
                <w:sz w:val="22"/>
                <w:szCs w:val="22"/>
                <w:lang w:eastAsia="es-EC"/>
              </w:rPr>
            </w:pPr>
          </w:p>
        </w:tc>
      </w:tr>
      <w:tr w:rsidR="00375D15" w:rsidRPr="00850A84" w14:paraId="4DFF6414" w14:textId="77777777" w:rsidTr="002F2603">
        <w:tc>
          <w:tcPr>
            <w:tcW w:w="4590" w:type="dxa"/>
            <w:gridSpan w:val="4"/>
          </w:tcPr>
          <w:p w14:paraId="4EBF5015" w14:textId="1491C9B8" w:rsidR="009C22B6" w:rsidRPr="006E31BB" w:rsidRDefault="00777A29" w:rsidP="00850A84">
            <w:pPr>
              <w:pStyle w:val="NormalWeb"/>
              <w:contextualSpacing/>
              <w:mirrorIndents/>
              <w:rPr>
                <w:rFonts w:ascii="Calibri" w:eastAsia="Times New Roman" w:hAnsi="Calibri" w:cs="Calibri"/>
                <w:b/>
                <w:bCs/>
                <w:color w:val="000000"/>
                <w:sz w:val="22"/>
                <w:szCs w:val="22"/>
                <w:lang w:eastAsia="es-EC"/>
              </w:rPr>
            </w:pPr>
            <w:r w:rsidRPr="00777A29">
              <w:rPr>
                <w:rFonts w:ascii="Calibri" w:eastAsia="Times New Roman" w:hAnsi="Calibri" w:cs="Calibri"/>
                <w:b/>
                <w:bCs/>
                <w:color w:val="000000"/>
                <w:sz w:val="22"/>
                <w:szCs w:val="22"/>
                <w:lang w:eastAsia="es-EC"/>
              </w:rPr>
              <w:t>Una mirada crítica a la competitividad energética: Factores clave para la autosuficiencia en México</w:t>
            </w:r>
            <w:r w:rsidR="00186597" w:rsidRPr="006E31BB">
              <w:rPr>
                <w:rFonts w:ascii="Calibri" w:eastAsia="Times New Roman" w:hAnsi="Calibri" w:cs="Calibri"/>
                <w:b/>
                <w:bCs/>
                <w:color w:val="000000"/>
                <w:sz w:val="22"/>
                <w:szCs w:val="22"/>
                <w:lang w:eastAsia="es-EC"/>
              </w:rPr>
              <w:t>.</w:t>
            </w:r>
          </w:p>
          <w:p w14:paraId="1C701E02" w14:textId="77777777" w:rsidR="009C22B6" w:rsidRPr="006E31BB" w:rsidRDefault="009C22B6" w:rsidP="00850A84">
            <w:pPr>
              <w:pStyle w:val="NormalWeb"/>
              <w:contextualSpacing/>
              <w:mirrorIndents/>
              <w:rPr>
                <w:rFonts w:ascii="Calibri" w:eastAsia="Times New Roman" w:hAnsi="Calibri" w:cs="Calibri"/>
                <w:b/>
                <w:bCs/>
                <w:color w:val="000000"/>
                <w:sz w:val="22"/>
                <w:szCs w:val="22"/>
                <w:lang w:eastAsia="es-EC"/>
              </w:rPr>
            </w:pPr>
          </w:p>
          <w:p w14:paraId="143BE72E" w14:textId="278B9CB2" w:rsidR="009C22B6" w:rsidRPr="006E31BB" w:rsidRDefault="00501FEC" w:rsidP="00850A84">
            <w:pPr>
              <w:pStyle w:val="NormalWeb"/>
              <w:contextualSpacing/>
              <w:mirrorIndents/>
              <w:rPr>
                <w:rFonts w:ascii="Calibri" w:eastAsia="Times New Roman" w:hAnsi="Calibri" w:cs="Calibri"/>
                <w:i/>
                <w:iCs/>
                <w:color w:val="000000"/>
                <w:sz w:val="22"/>
                <w:szCs w:val="22"/>
                <w:lang w:val="en-US" w:eastAsia="es-EC"/>
              </w:rPr>
            </w:pPr>
            <w:r w:rsidRPr="00501FEC">
              <w:rPr>
                <w:rFonts w:ascii="Calibri" w:eastAsia="Times New Roman" w:hAnsi="Calibri" w:cs="Calibri"/>
                <w:i/>
                <w:iCs/>
                <w:color w:val="000000"/>
                <w:sz w:val="22"/>
                <w:szCs w:val="22"/>
                <w:lang w:val="en-US" w:eastAsia="es-EC"/>
              </w:rPr>
              <w:t>A Critical View of Energy Competitiveness: Key Factors for Self-Sufficiency in Mexico</w:t>
            </w:r>
            <w:r w:rsidR="009C22B6" w:rsidRPr="006E31BB">
              <w:rPr>
                <w:rFonts w:ascii="Calibri" w:eastAsia="Times New Roman" w:hAnsi="Calibri" w:cs="Calibri"/>
                <w:i/>
                <w:iCs/>
                <w:color w:val="000000"/>
                <w:sz w:val="22"/>
                <w:szCs w:val="22"/>
                <w:lang w:val="en-US" w:eastAsia="es-EC"/>
              </w:rPr>
              <w:t>.</w:t>
            </w:r>
          </w:p>
          <w:p w14:paraId="592088E1" w14:textId="77777777" w:rsidR="009C22B6" w:rsidRPr="006E31BB" w:rsidRDefault="009C22B6" w:rsidP="00850A84">
            <w:pPr>
              <w:pStyle w:val="NormalWeb"/>
              <w:contextualSpacing/>
              <w:mirrorIndents/>
              <w:rPr>
                <w:rFonts w:ascii="Calibri" w:eastAsia="Times New Roman" w:hAnsi="Calibri" w:cs="Calibri"/>
                <w:i/>
                <w:iCs/>
                <w:color w:val="000000"/>
                <w:sz w:val="22"/>
                <w:szCs w:val="22"/>
                <w:lang w:val="en-US" w:eastAsia="es-EC"/>
              </w:rPr>
            </w:pPr>
          </w:p>
          <w:p w14:paraId="26CD2EE8" w14:textId="09A844E3" w:rsidR="009C22B6" w:rsidRPr="00D37093" w:rsidRDefault="002F4521" w:rsidP="00850A84">
            <w:pPr>
              <w:pStyle w:val="NormalWeb"/>
              <w:contextualSpacing/>
              <w:mirrorIndents/>
              <w:rPr>
                <w:rFonts w:ascii="Calibri" w:eastAsia="Times New Roman" w:hAnsi="Calibri" w:cs="Calibri"/>
                <w:i/>
                <w:iCs/>
                <w:color w:val="000000"/>
                <w:sz w:val="22"/>
                <w:szCs w:val="22"/>
                <w:lang w:val="pt-BR" w:eastAsia="es-EC"/>
              </w:rPr>
            </w:pPr>
            <w:r w:rsidRPr="00D37093">
              <w:rPr>
                <w:rFonts w:ascii="Calibri" w:hAnsi="Calibri" w:cs="Calibri"/>
                <w:i/>
                <w:iCs/>
                <w:sz w:val="22"/>
                <w:szCs w:val="22"/>
                <w:lang w:val="pt-BR"/>
              </w:rPr>
              <w:t>Um Olhar Crítico sobre a Competitividade Energética: Fatores-Chave para a Autossuficiência no México</w:t>
            </w:r>
            <w:r w:rsidR="007D30D6" w:rsidRPr="00D37093">
              <w:rPr>
                <w:rFonts w:ascii="Calibri" w:eastAsia="Times New Roman" w:hAnsi="Calibri" w:cs="Calibri"/>
                <w:i/>
                <w:iCs/>
                <w:color w:val="000000"/>
                <w:sz w:val="22"/>
                <w:szCs w:val="22"/>
                <w:lang w:val="pt-BR" w:eastAsia="es-EC"/>
              </w:rPr>
              <w:t>.</w:t>
            </w:r>
          </w:p>
          <w:p w14:paraId="006B5C4E" w14:textId="47F73A17" w:rsidR="00E06762" w:rsidRPr="00D37093" w:rsidRDefault="00E06762" w:rsidP="00850A84">
            <w:pPr>
              <w:pStyle w:val="NormalWeb"/>
              <w:contextualSpacing/>
              <w:mirrorIndents/>
              <w:rPr>
                <w:rFonts w:ascii="Calibri" w:eastAsia="Times New Roman" w:hAnsi="Calibri" w:cs="Calibri"/>
                <w:color w:val="000000"/>
                <w:sz w:val="22"/>
                <w:szCs w:val="22"/>
                <w:lang w:val="pt-BR" w:eastAsia="es-EC"/>
              </w:rPr>
            </w:pPr>
          </w:p>
        </w:tc>
        <w:tc>
          <w:tcPr>
            <w:tcW w:w="4500" w:type="dxa"/>
            <w:gridSpan w:val="2"/>
          </w:tcPr>
          <w:p w14:paraId="68D538CF" w14:textId="77777777" w:rsidR="001866A6" w:rsidRPr="00D37093" w:rsidRDefault="00DB0FAD" w:rsidP="00850A84">
            <w:pPr>
              <w:pStyle w:val="NormalWeb"/>
              <w:contextualSpacing/>
              <w:mirrorIndents/>
              <w:jc w:val="right"/>
              <w:rPr>
                <w:rFonts w:ascii="Calibri" w:hAnsi="Calibri" w:cs="Calibri"/>
                <w:b/>
                <w:bCs/>
                <w:sz w:val="22"/>
                <w:szCs w:val="22"/>
                <w:lang w:val="pt-BR"/>
              </w:rPr>
            </w:pPr>
            <w:r w:rsidRPr="00D37093">
              <w:rPr>
                <w:rFonts w:ascii="Calibri" w:hAnsi="Calibri" w:cs="Calibri"/>
                <w:b/>
                <w:bCs/>
                <w:sz w:val="22"/>
                <w:szCs w:val="22"/>
                <w:lang w:val="pt-BR"/>
              </w:rPr>
              <w:t>Guillermo Alfredo Quintana Saucedo</w:t>
            </w:r>
            <w:r w:rsidR="001866A6" w:rsidRPr="00D37093">
              <w:rPr>
                <w:rFonts w:ascii="Calibri" w:hAnsi="Calibri" w:cs="Calibri"/>
                <w:b/>
                <w:bCs/>
                <w:sz w:val="22"/>
                <w:szCs w:val="22"/>
                <w:lang w:val="pt-BR"/>
              </w:rPr>
              <w:t xml:space="preserve">, </w:t>
            </w:r>
          </w:p>
          <w:p w14:paraId="04C14848" w14:textId="77777777" w:rsidR="001866A6" w:rsidRPr="00D37093" w:rsidRDefault="001866A6" w:rsidP="00850A84">
            <w:pPr>
              <w:pStyle w:val="NormalWeb"/>
              <w:contextualSpacing/>
              <w:mirrorIndents/>
              <w:jc w:val="right"/>
              <w:rPr>
                <w:rFonts w:ascii="Calibri" w:hAnsi="Calibri" w:cs="Calibri"/>
                <w:b/>
                <w:bCs/>
                <w:sz w:val="22"/>
                <w:szCs w:val="22"/>
                <w:lang w:val="pt-BR"/>
              </w:rPr>
            </w:pPr>
            <w:r w:rsidRPr="00D37093">
              <w:rPr>
                <w:rFonts w:ascii="Calibri" w:hAnsi="Calibri" w:cs="Calibri"/>
                <w:b/>
                <w:bCs/>
                <w:sz w:val="22"/>
                <w:szCs w:val="22"/>
                <w:lang w:val="pt-BR"/>
              </w:rPr>
              <w:t>Eury José Villalobos Ferrer</w:t>
            </w:r>
            <w:r w:rsidR="00DB0FAD" w:rsidRPr="00D37093">
              <w:rPr>
                <w:rFonts w:ascii="Calibri" w:hAnsi="Calibri" w:cs="Calibri"/>
                <w:b/>
                <w:bCs/>
                <w:sz w:val="22"/>
                <w:szCs w:val="22"/>
                <w:lang w:val="pt-BR"/>
              </w:rPr>
              <w:t xml:space="preserve"> </w:t>
            </w:r>
          </w:p>
          <w:p w14:paraId="38E2592A" w14:textId="56F15E73" w:rsidR="00D300CF" w:rsidRDefault="00D300CF" w:rsidP="00850A84">
            <w:pPr>
              <w:pStyle w:val="NormalWeb"/>
              <w:contextualSpacing/>
              <w:mirrorIndents/>
              <w:jc w:val="right"/>
              <w:rPr>
                <w:rFonts w:ascii="Calibri" w:hAnsi="Calibri" w:cs="Calibri"/>
                <w:sz w:val="22"/>
                <w:szCs w:val="22"/>
              </w:rPr>
            </w:pPr>
            <w:r w:rsidRPr="00D300CF">
              <w:rPr>
                <w:rFonts w:ascii="Calibri" w:hAnsi="Calibri" w:cs="Calibri"/>
                <w:sz w:val="22"/>
                <w:szCs w:val="22"/>
              </w:rPr>
              <w:t>Universidad Centro Panamericano de Estudios Superiores, México</w:t>
            </w:r>
          </w:p>
          <w:p w14:paraId="5079B83E" w14:textId="43575AEA" w:rsidR="00F237B8" w:rsidRPr="00BF549A" w:rsidRDefault="00BF549A" w:rsidP="00850A84">
            <w:pPr>
              <w:pStyle w:val="NormalWeb"/>
              <w:contextualSpacing/>
              <w:mirrorIndents/>
              <w:jc w:val="right"/>
              <w:rPr>
                <w:rFonts w:ascii="Calibri" w:hAnsi="Calibri" w:cs="Calibri"/>
                <w:color w:val="0070C0"/>
                <w:sz w:val="22"/>
                <w:szCs w:val="22"/>
              </w:rPr>
            </w:pPr>
            <w:hyperlink r:id="rId13" w:history="1">
              <w:r w:rsidRPr="00BF549A">
                <w:rPr>
                  <w:rStyle w:val="Hyperlink"/>
                  <w:rFonts w:ascii="Calibri" w:hAnsi="Calibri" w:cs="Calibri"/>
                  <w:color w:val="0070C0"/>
                  <w:sz w:val="22"/>
                  <w:szCs w:val="22"/>
                </w:rPr>
                <w:t>gmo_quintana@hotmail.com</w:t>
              </w:r>
            </w:hyperlink>
          </w:p>
          <w:p w14:paraId="012EC62F" w14:textId="77777777" w:rsidR="00BF549A" w:rsidRDefault="00BF549A" w:rsidP="00850A84">
            <w:pPr>
              <w:pStyle w:val="NormalWeb"/>
              <w:contextualSpacing/>
              <w:mirrorIndents/>
              <w:jc w:val="right"/>
              <w:rPr>
                <w:rFonts w:ascii="Calibri" w:hAnsi="Calibri" w:cs="Calibri"/>
                <w:sz w:val="22"/>
                <w:szCs w:val="22"/>
              </w:rPr>
            </w:pPr>
          </w:p>
          <w:p w14:paraId="7FEA5625" w14:textId="178E5EC9" w:rsidR="00597AB4" w:rsidRPr="00850A84" w:rsidRDefault="00E644E4" w:rsidP="00850A84">
            <w:pPr>
              <w:pStyle w:val="NormalWeb"/>
              <w:contextualSpacing/>
              <w:mirrorIndents/>
              <w:jc w:val="right"/>
              <w:rPr>
                <w:rFonts w:ascii="Calibri" w:eastAsia="Times New Roman" w:hAnsi="Calibri" w:cs="Calibri"/>
                <w:bCs/>
                <w:color w:val="000000"/>
                <w:sz w:val="22"/>
                <w:szCs w:val="22"/>
                <w:lang w:eastAsia="es-EC"/>
              </w:rPr>
            </w:pPr>
            <w:r w:rsidRPr="00850A84">
              <w:rPr>
                <w:rFonts w:ascii="Calibri" w:eastAsia="Times New Roman" w:hAnsi="Calibri" w:cs="Calibri"/>
                <w:bCs/>
                <w:color w:val="000000"/>
                <w:sz w:val="22"/>
                <w:szCs w:val="22"/>
                <w:lang w:eastAsia="es-EC"/>
              </w:rPr>
              <w:t>Artículo científico</w:t>
            </w:r>
          </w:p>
          <w:p w14:paraId="1291C018" w14:textId="77777777" w:rsidR="00E644E4" w:rsidRPr="00850A84" w:rsidRDefault="00E644E4" w:rsidP="00850A84">
            <w:pPr>
              <w:pStyle w:val="NormalWeb"/>
              <w:contextualSpacing/>
              <w:mirrorIndents/>
              <w:jc w:val="right"/>
              <w:rPr>
                <w:rFonts w:ascii="Calibri" w:eastAsia="Times New Roman" w:hAnsi="Calibri" w:cs="Calibri"/>
                <w:bCs/>
                <w:color w:val="000000"/>
                <w:sz w:val="22"/>
                <w:szCs w:val="22"/>
                <w:lang w:eastAsia="es-EC"/>
              </w:rPr>
            </w:pPr>
          </w:p>
          <w:p w14:paraId="1DB8A627" w14:textId="7DC0BD6D" w:rsidR="0001466E" w:rsidRPr="00C97697" w:rsidRDefault="0001466E" w:rsidP="00850A84">
            <w:pPr>
              <w:pStyle w:val="NormalWeb"/>
              <w:contextualSpacing/>
              <w:mirrorIndents/>
              <w:jc w:val="right"/>
              <w:rPr>
                <w:rFonts w:ascii="Calibri" w:eastAsia="Times New Roman" w:hAnsi="Calibri" w:cs="Calibri"/>
                <w:bCs/>
                <w:color w:val="000000"/>
                <w:sz w:val="22"/>
                <w:szCs w:val="22"/>
                <w:lang w:eastAsia="es-EC"/>
              </w:rPr>
            </w:pPr>
            <w:r w:rsidRPr="00C97697">
              <w:rPr>
                <w:rFonts w:ascii="Calibri" w:eastAsia="Times New Roman" w:hAnsi="Calibri" w:cs="Calibri"/>
                <w:bCs/>
                <w:color w:val="000000"/>
                <w:sz w:val="22"/>
                <w:szCs w:val="22"/>
                <w:lang w:eastAsia="es-EC"/>
              </w:rPr>
              <w:t xml:space="preserve">Enviado: </w:t>
            </w:r>
            <w:r w:rsidR="00716288" w:rsidRPr="00716288">
              <w:rPr>
                <w:rFonts w:ascii="Calibri" w:eastAsia="Times New Roman" w:hAnsi="Calibri" w:cs="Calibri"/>
                <w:bCs/>
                <w:color w:val="000000"/>
                <w:sz w:val="22"/>
                <w:szCs w:val="22"/>
                <w:lang w:eastAsia="es-EC"/>
              </w:rPr>
              <w:t>8/8/2025</w:t>
            </w:r>
          </w:p>
          <w:p w14:paraId="080D1B82" w14:textId="606C3634" w:rsidR="00397C20" w:rsidRDefault="0001466E" w:rsidP="00850A84">
            <w:pPr>
              <w:pStyle w:val="NormalWeb"/>
              <w:contextualSpacing/>
              <w:mirrorIndents/>
              <w:jc w:val="right"/>
              <w:rPr>
                <w:rFonts w:ascii="Calibri" w:eastAsia="Times New Roman" w:hAnsi="Calibri" w:cs="Calibri"/>
                <w:bCs/>
                <w:color w:val="000000"/>
                <w:sz w:val="22"/>
                <w:szCs w:val="22"/>
                <w:lang w:eastAsia="es-EC"/>
              </w:rPr>
            </w:pPr>
            <w:r w:rsidRPr="00C97697">
              <w:rPr>
                <w:rFonts w:ascii="Calibri" w:eastAsia="Times New Roman" w:hAnsi="Calibri" w:cs="Calibri"/>
                <w:bCs/>
                <w:color w:val="000000"/>
                <w:sz w:val="22"/>
                <w:szCs w:val="22"/>
                <w:lang w:eastAsia="es-EC"/>
              </w:rPr>
              <w:t xml:space="preserve">Aprobado: </w:t>
            </w:r>
            <w:r w:rsidR="00972B1E" w:rsidRPr="00972B1E">
              <w:rPr>
                <w:rFonts w:ascii="Calibri" w:eastAsia="Times New Roman" w:hAnsi="Calibri" w:cs="Calibri"/>
                <w:bCs/>
                <w:color w:val="000000"/>
                <w:sz w:val="22"/>
                <w:szCs w:val="22"/>
                <w:lang w:eastAsia="es-EC"/>
              </w:rPr>
              <w:t xml:space="preserve">9/2/2026   </w:t>
            </w:r>
          </w:p>
          <w:p w14:paraId="07FE7220" w14:textId="137D3BD3" w:rsidR="0094209E" w:rsidRPr="00850A84" w:rsidRDefault="0001466E" w:rsidP="00850A84">
            <w:pPr>
              <w:pStyle w:val="NormalWeb"/>
              <w:contextualSpacing/>
              <w:mirrorIndents/>
              <w:jc w:val="right"/>
              <w:rPr>
                <w:rFonts w:ascii="Calibri" w:eastAsia="Times New Roman" w:hAnsi="Calibri" w:cs="Calibri"/>
                <w:bCs/>
                <w:color w:val="000000"/>
                <w:sz w:val="22"/>
                <w:szCs w:val="22"/>
                <w:lang w:eastAsia="es-EC"/>
              </w:rPr>
            </w:pPr>
            <w:r w:rsidRPr="00972B1E">
              <w:rPr>
                <w:rFonts w:ascii="Calibri" w:eastAsia="Times New Roman" w:hAnsi="Calibri" w:cs="Calibri"/>
                <w:bCs/>
                <w:color w:val="000000"/>
                <w:sz w:val="22"/>
                <w:szCs w:val="22"/>
                <w:lang w:eastAsia="es-EC"/>
              </w:rPr>
              <w:t xml:space="preserve">Publicado: </w:t>
            </w:r>
            <w:r w:rsidR="00972B1E" w:rsidRPr="00972B1E">
              <w:rPr>
                <w:rFonts w:ascii="Calibri" w:eastAsia="Times New Roman" w:hAnsi="Calibri" w:cs="Calibri"/>
                <w:bCs/>
                <w:color w:val="000000"/>
                <w:sz w:val="22"/>
                <w:szCs w:val="22"/>
                <w:lang w:eastAsia="es-EC"/>
              </w:rPr>
              <w:t>14/3/2026</w:t>
            </w:r>
          </w:p>
          <w:p w14:paraId="31C0D6DB" w14:textId="696CD09B" w:rsidR="008A615D" w:rsidRPr="00850A84" w:rsidRDefault="008A615D" w:rsidP="00850A84">
            <w:pPr>
              <w:pStyle w:val="NormalWeb"/>
              <w:contextualSpacing/>
              <w:mirrorIndents/>
              <w:jc w:val="right"/>
              <w:rPr>
                <w:rFonts w:ascii="Calibri" w:eastAsia="Times New Roman" w:hAnsi="Calibri" w:cs="Calibri"/>
                <w:b/>
                <w:bCs/>
                <w:color w:val="000000"/>
                <w:sz w:val="22"/>
                <w:szCs w:val="22"/>
                <w:lang w:val="es-EC" w:eastAsia="es-EC"/>
              </w:rPr>
            </w:pPr>
          </w:p>
        </w:tc>
      </w:tr>
    </w:tbl>
    <w:p w14:paraId="0E948E2E" w14:textId="01911231" w:rsidR="00F141D6" w:rsidRPr="00850A84" w:rsidRDefault="00FC5EF7" w:rsidP="00B7707C">
      <w:pPr>
        <w:tabs>
          <w:tab w:val="left" w:pos="990"/>
        </w:tabs>
        <w:spacing w:before="100" w:beforeAutospacing="1" w:after="100" w:afterAutospacing="1"/>
        <w:ind w:left="90" w:right="26"/>
        <w:contextualSpacing/>
        <w:mirrorIndents/>
        <w:jc w:val="both"/>
        <w:rPr>
          <w:rFonts w:ascii="Calibri" w:hAnsi="Calibri" w:cs="Calibri"/>
          <w:bCs/>
          <w:sz w:val="22"/>
        </w:rPr>
      </w:pPr>
      <w:r w:rsidRPr="00850A84">
        <w:rPr>
          <w:rFonts w:ascii="Calibri" w:hAnsi="Calibri" w:cs="Calibri"/>
          <w:b/>
          <w:sz w:val="22"/>
        </w:rPr>
        <w:t>RESUMEN</w:t>
      </w:r>
    </w:p>
    <w:p w14:paraId="4413A4F0" w14:textId="77777777" w:rsidR="00B875FB" w:rsidRPr="00850A84" w:rsidRDefault="00B875FB" w:rsidP="00B7707C">
      <w:pPr>
        <w:tabs>
          <w:tab w:val="left" w:pos="990"/>
        </w:tabs>
        <w:spacing w:before="100" w:beforeAutospacing="1" w:after="100" w:afterAutospacing="1"/>
        <w:ind w:left="90" w:right="26"/>
        <w:contextualSpacing/>
        <w:mirrorIndents/>
        <w:jc w:val="both"/>
        <w:rPr>
          <w:rFonts w:ascii="Calibri" w:hAnsi="Calibri" w:cs="Calibri"/>
          <w:bCs/>
          <w:sz w:val="22"/>
        </w:rPr>
      </w:pPr>
    </w:p>
    <w:p w14:paraId="17FAE249" w14:textId="3B1523D3" w:rsidR="008E5148" w:rsidRDefault="00346172" w:rsidP="00B7707C">
      <w:pPr>
        <w:tabs>
          <w:tab w:val="left" w:pos="990"/>
        </w:tabs>
        <w:spacing w:before="100" w:beforeAutospacing="1" w:after="100" w:afterAutospacing="1"/>
        <w:ind w:left="90" w:right="29"/>
        <w:contextualSpacing/>
        <w:mirrorIndents/>
        <w:jc w:val="both"/>
        <w:rPr>
          <w:rFonts w:ascii="Calibri" w:hAnsi="Calibri" w:cs="Calibri"/>
          <w:bCs/>
          <w:sz w:val="22"/>
          <w:lang w:val="es-EC"/>
        </w:rPr>
      </w:pPr>
      <w:r w:rsidRPr="00346172">
        <w:rPr>
          <w:rFonts w:ascii="Calibri" w:hAnsi="Calibri" w:cs="Calibri"/>
          <w:bCs/>
          <w:sz w:val="22"/>
          <w:lang w:val="es-EC"/>
        </w:rPr>
        <w:t>La autosuficiencia eléctrica constituye un objetivo estratégico hacia una matriz energética más sostenible, confiable y competitiva, y es reconocida internacionalmente como un pilar de la seguridad energética. En el caso de México, la dependencia de combustibles fósiles, la fragmentación regulatoria y limitaciones en infraestructura de transmisión mantienen al país en una situación de vulnerabilidad. Ante este panorama, se realizó una investigación en dos ejes: competitividad y transición energética, para transformar la matriz sin comprometer la estabilidad y el desarrollo del país, pero como una oportunidad para que sea más sustentable. En este artículo se desprende el análisis de la competitividad, entendida como el conjunto de criterios que deben considerarse para avanzar hacia la autosuficiencia eléctrica. Para ambos ejes, la investigación, se desarrolló a través del método cualitativo, sustentado en teoría fundamentada, con entrevistas a expertos del sector público, privado y académico, y una matriz documental, a través de cinco categorías de análisis. Los resultados revelaron que, se requiere infraestructura, autonomía tecnológica y planeación territorial. Se debe fortalecer la regulación con incentivos diferenciados según madurez tecnológica, además de establecer hojas de ruta. Finalmente, se identificaron como criterios de competitividad: confiabilidad técnica, eficiencia operativa, autonomía tecnológica y generación de valor agregado local.</w:t>
      </w:r>
    </w:p>
    <w:p w14:paraId="76FAF4B8" w14:textId="77777777" w:rsidR="00346172" w:rsidRPr="00F600A2" w:rsidRDefault="00346172" w:rsidP="00B7707C">
      <w:pPr>
        <w:tabs>
          <w:tab w:val="left" w:pos="990"/>
        </w:tabs>
        <w:spacing w:before="100" w:beforeAutospacing="1" w:after="100" w:afterAutospacing="1"/>
        <w:ind w:left="90" w:right="29"/>
        <w:contextualSpacing/>
        <w:mirrorIndents/>
        <w:jc w:val="both"/>
        <w:rPr>
          <w:rFonts w:ascii="Calibri" w:hAnsi="Calibri" w:cs="Calibri"/>
          <w:bCs/>
          <w:sz w:val="22"/>
          <w:lang w:val="es-EC"/>
        </w:rPr>
      </w:pPr>
    </w:p>
    <w:p w14:paraId="6D19E13C" w14:textId="6126B725" w:rsidR="001E4133" w:rsidRPr="00850A84" w:rsidRDefault="001E4133" w:rsidP="00B7707C">
      <w:pPr>
        <w:spacing w:before="100" w:beforeAutospacing="1" w:after="100" w:afterAutospacing="1"/>
        <w:ind w:left="90" w:right="26"/>
        <w:contextualSpacing/>
        <w:mirrorIndents/>
        <w:jc w:val="both"/>
        <w:rPr>
          <w:rFonts w:ascii="Calibri" w:eastAsia="Meiryo" w:hAnsi="Calibri" w:cs="Calibri"/>
          <w:sz w:val="22"/>
          <w:lang w:val="es-AR"/>
        </w:rPr>
      </w:pPr>
      <w:r w:rsidRPr="00850A84">
        <w:rPr>
          <w:rFonts w:ascii="Calibri" w:eastAsia="Meiryo" w:hAnsi="Calibri" w:cs="Calibri"/>
          <w:b/>
          <w:sz w:val="22"/>
          <w:lang w:val="es-AR"/>
        </w:rPr>
        <w:t xml:space="preserve">Palabras clave: </w:t>
      </w:r>
      <w:r w:rsidR="00A62097" w:rsidRPr="00A62097">
        <w:rPr>
          <w:rFonts w:ascii="Calibri" w:eastAsia="Meiryo" w:hAnsi="Calibri" w:cs="Calibri"/>
          <w:bCs/>
          <w:sz w:val="22"/>
          <w:lang w:val="es-AR"/>
        </w:rPr>
        <w:t>fuentes de energía, innovación tecnológica, política energética, seguridad energética, sistema eléctrico.</w:t>
      </w:r>
    </w:p>
    <w:p w14:paraId="7E8F1C6B" w14:textId="77777777" w:rsidR="001E4133" w:rsidRPr="00850A84" w:rsidRDefault="001E4133" w:rsidP="00B7707C">
      <w:pPr>
        <w:spacing w:before="100" w:beforeAutospacing="1" w:after="100" w:afterAutospacing="1"/>
        <w:ind w:left="90" w:right="26"/>
        <w:contextualSpacing/>
        <w:mirrorIndents/>
        <w:jc w:val="both"/>
        <w:rPr>
          <w:rFonts w:ascii="Calibri" w:eastAsia="Meiryo" w:hAnsi="Calibri" w:cs="Calibri"/>
          <w:sz w:val="22"/>
          <w:lang w:val="es-AR"/>
        </w:rPr>
      </w:pPr>
    </w:p>
    <w:p w14:paraId="14E29A2F" w14:textId="77777777" w:rsidR="001E4133" w:rsidRPr="00380F8D" w:rsidRDefault="001E4133" w:rsidP="00B7707C">
      <w:pPr>
        <w:spacing w:before="100" w:beforeAutospacing="1" w:after="100" w:afterAutospacing="1"/>
        <w:ind w:left="90" w:right="26"/>
        <w:contextualSpacing/>
        <w:mirrorIndents/>
        <w:rPr>
          <w:rFonts w:ascii="Calibri" w:eastAsia="Meiryo" w:hAnsi="Calibri" w:cs="Calibri"/>
          <w:b/>
          <w:sz w:val="22"/>
          <w:lang w:val="en-US"/>
        </w:rPr>
      </w:pPr>
      <w:r w:rsidRPr="00380F8D">
        <w:rPr>
          <w:rFonts w:ascii="Calibri" w:eastAsia="Meiryo" w:hAnsi="Calibri" w:cs="Calibri"/>
          <w:b/>
          <w:sz w:val="22"/>
          <w:lang w:val="en-US"/>
        </w:rPr>
        <w:t>ABSTRACT</w:t>
      </w:r>
    </w:p>
    <w:p w14:paraId="15330E91" w14:textId="77777777" w:rsidR="00A62097" w:rsidRPr="00380F8D" w:rsidRDefault="00A62097" w:rsidP="00B7707C">
      <w:pPr>
        <w:spacing w:before="100" w:beforeAutospacing="1" w:after="100" w:afterAutospacing="1"/>
        <w:ind w:left="90" w:right="26"/>
        <w:contextualSpacing/>
        <w:mirrorIndents/>
        <w:rPr>
          <w:rFonts w:ascii="Calibri" w:eastAsia="Meiryo" w:hAnsi="Calibri" w:cs="Calibri"/>
          <w:b/>
          <w:sz w:val="22"/>
          <w:lang w:val="en-US"/>
        </w:rPr>
      </w:pPr>
    </w:p>
    <w:p w14:paraId="5D9383F9" w14:textId="77E9F3C3" w:rsidR="00A62097" w:rsidRPr="00354DEF" w:rsidRDefault="00354DEF" w:rsidP="00354DEF">
      <w:pPr>
        <w:spacing w:before="100" w:beforeAutospacing="1" w:after="100" w:afterAutospacing="1"/>
        <w:ind w:left="90" w:right="26"/>
        <w:contextualSpacing/>
        <w:mirrorIndents/>
        <w:jc w:val="both"/>
        <w:rPr>
          <w:rFonts w:ascii="Calibri" w:eastAsia="Meiryo" w:hAnsi="Calibri" w:cs="Calibri"/>
          <w:bCs/>
          <w:sz w:val="22"/>
          <w:lang w:val="en-US"/>
        </w:rPr>
      </w:pPr>
      <w:r w:rsidRPr="00354DEF">
        <w:rPr>
          <w:rFonts w:ascii="Calibri" w:eastAsia="Meiryo" w:hAnsi="Calibri" w:cs="Calibri"/>
          <w:bCs/>
          <w:sz w:val="22"/>
          <w:lang w:val="en-US"/>
        </w:rPr>
        <w:t xml:space="preserve">Electric self-sufficiency constitutes a strategic objective toward a more sustainable, reliable, and competitive energy matrix and is internationally recognized as a pillar of energy security. In Mexico’s case, dependence on fossil fuels, regulatory fragmentation, and limitations in transmission infrastructure keep the country in a vulnerable position. In this context, research was carried out along two axes, competitiveness and energy transition, to transform the energy matrix without compromising the nation’s stability and development but rather turning it into an opportunity to make it more sustainable. This article presents the analysis of competitiveness, understood as the set of criteria that must be considered to advance toward electric self-sufficiency. For both axes, the research was conducted using a qualitative method grounded in grounded theory, with interviews with experts from the public, private, and academic sectors, as well as a documentary matrix </w:t>
      </w:r>
      <w:r w:rsidRPr="00354DEF">
        <w:rPr>
          <w:rFonts w:ascii="Calibri" w:eastAsia="Meiryo" w:hAnsi="Calibri" w:cs="Calibri"/>
          <w:bCs/>
          <w:sz w:val="22"/>
          <w:lang w:val="en-US"/>
        </w:rPr>
        <w:lastRenderedPageBreak/>
        <w:t>organized into five categories of analysis. The results revealed the need for infrastructure, technological autonomy, and territorial planning. Regulation must be strengthened with differentiated incentives according to technological maturity, in addition to the establishment of roadmaps. Finally, the criteria identified as essential for competitiveness include technical reliability, operational efficiency, technological autonomy, and the creation of local added value.</w:t>
      </w:r>
    </w:p>
    <w:p w14:paraId="3E4D5B88" w14:textId="77777777" w:rsidR="00C900A9" w:rsidRPr="00354DEF" w:rsidRDefault="00C900A9" w:rsidP="00B7707C">
      <w:pPr>
        <w:spacing w:before="100" w:beforeAutospacing="1" w:after="100" w:afterAutospacing="1"/>
        <w:ind w:left="90" w:right="26"/>
        <w:contextualSpacing/>
        <w:mirrorIndents/>
        <w:rPr>
          <w:rFonts w:ascii="Calibri" w:eastAsia="Meiryo" w:hAnsi="Calibri" w:cs="Calibri"/>
          <w:bCs/>
          <w:sz w:val="22"/>
          <w:lang w:val="en-US"/>
        </w:rPr>
      </w:pPr>
    </w:p>
    <w:p w14:paraId="40DD11EF" w14:textId="5D6C90B8" w:rsidR="00CF5573" w:rsidRPr="00F70C8E" w:rsidRDefault="001E4133" w:rsidP="00B7707C">
      <w:pPr>
        <w:spacing w:before="100" w:beforeAutospacing="1" w:after="100" w:afterAutospacing="1"/>
        <w:ind w:left="90"/>
        <w:jc w:val="both"/>
        <w:rPr>
          <w:rFonts w:ascii="Calibri" w:eastAsia="Meiryo" w:hAnsi="Calibri" w:cs="Calibri"/>
          <w:bCs/>
          <w:sz w:val="22"/>
          <w:lang w:val="en-US"/>
        </w:rPr>
      </w:pPr>
      <w:r w:rsidRPr="00F70C8E">
        <w:rPr>
          <w:rFonts w:ascii="Calibri" w:eastAsia="Meiryo" w:hAnsi="Calibri" w:cs="Calibri"/>
          <w:b/>
          <w:sz w:val="22"/>
          <w:lang w:val="en-US"/>
        </w:rPr>
        <w:t>Keywords</w:t>
      </w:r>
      <w:r w:rsidR="00354DEF" w:rsidRPr="00F70C8E">
        <w:rPr>
          <w:rFonts w:ascii="Calibri" w:eastAsia="Meiryo" w:hAnsi="Calibri" w:cs="Calibri"/>
          <w:b/>
          <w:sz w:val="22"/>
          <w:lang w:val="en-US"/>
        </w:rPr>
        <w:t xml:space="preserve">: </w:t>
      </w:r>
      <w:r w:rsidR="00F70C8E" w:rsidRPr="00F70C8E">
        <w:rPr>
          <w:rFonts w:ascii="Calibri" w:eastAsia="Meiryo" w:hAnsi="Calibri" w:cs="Calibri"/>
          <w:bCs/>
          <w:sz w:val="22"/>
          <w:lang w:val="en-US"/>
        </w:rPr>
        <w:t>electric power system</w:t>
      </w:r>
      <w:r w:rsidR="00F70C8E">
        <w:rPr>
          <w:rFonts w:ascii="Calibri" w:eastAsia="Meiryo" w:hAnsi="Calibri" w:cs="Calibri"/>
          <w:bCs/>
          <w:sz w:val="22"/>
          <w:lang w:val="en-US"/>
        </w:rPr>
        <w:t xml:space="preserve">, </w:t>
      </w:r>
      <w:r w:rsidR="00F70C8E" w:rsidRPr="00F70C8E">
        <w:rPr>
          <w:rFonts w:ascii="Calibri" w:eastAsia="Meiryo" w:hAnsi="Calibri" w:cs="Calibri"/>
          <w:bCs/>
          <w:sz w:val="22"/>
          <w:lang w:val="en-US"/>
        </w:rPr>
        <w:t>energy policy, energy security, energy sources, technological innovation</w:t>
      </w:r>
      <w:r w:rsidR="00F70C8E">
        <w:rPr>
          <w:rFonts w:ascii="Calibri" w:eastAsia="Meiryo" w:hAnsi="Calibri" w:cs="Calibri"/>
          <w:bCs/>
          <w:sz w:val="22"/>
          <w:lang w:val="en-US"/>
        </w:rPr>
        <w:t>.</w:t>
      </w:r>
    </w:p>
    <w:p w14:paraId="4B6813AE" w14:textId="7C05CDB2" w:rsidR="001E4133" w:rsidRPr="00D37093" w:rsidRDefault="001E4133" w:rsidP="00B7707C">
      <w:pPr>
        <w:spacing w:before="100" w:beforeAutospacing="1" w:after="100" w:afterAutospacing="1"/>
        <w:ind w:left="90"/>
        <w:jc w:val="both"/>
        <w:rPr>
          <w:rFonts w:ascii="Calibri" w:eastAsia="Meiryo" w:hAnsi="Calibri" w:cs="Calibri"/>
          <w:b/>
          <w:sz w:val="22"/>
          <w:lang w:val="pt-BR"/>
        </w:rPr>
      </w:pPr>
      <w:r w:rsidRPr="00D37093">
        <w:rPr>
          <w:rFonts w:ascii="Calibri" w:eastAsia="Meiryo" w:hAnsi="Calibri" w:cs="Calibri"/>
          <w:b/>
          <w:sz w:val="22"/>
          <w:lang w:val="pt-BR"/>
        </w:rPr>
        <w:t>RESUMO</w:t>
      </w:r>
    </w:p>
    <w:p w14:paraId="2C726568" w14:textId="1ECE1D52" w:rsidR="00F70C8E" w:rsidRPr="00D37093" w:rsidRDefault="00302501" w:rsidP="00B7707C">
      <w:pPr>
        <w:spacing w:before="100" w:beforeAutospacing="1" w:after="100" w:afterAutospacing="1"/>
        <w:ind w:left="90"/>
        <w:jc w:val="both"/>
        <w:rPr>
          <w:rFonts w:ascii="Calibri" w:eastAsia="Meiryo" w:hAnsi="Calibri" w:cs="Calibri"/>
          <w:bCs/>
          <w:sz w:val="22"/>
          <w:lang w:val="pt-BR"/>
        </w:rPr>
      </w:pPr>
      <w:r w:rsidRPr="00D37093">
        <w:rPr>
          <w:rFonts w:ascii="Calibri" w:eastAsia="Meiryo" w:hAnsi="Calibri" w:cs="Calibri"/>
          <w:bCs/>
          <w:sz w:val="22"/>
          <w:lang w:val="pt-BR"/>
        </w:rPr>
        <w:t>A autossuficiência elétrica constitui um objetivo estratégico para uma matriz energética mais sustentável, confiável e competitiva, sendo reconhecida internacionalmente como um pilar da segurança energética. No caso do México, a dependência de combustíveis fósseis, a fragmentação regulatória e as limitações na infraestrutura de transmissão mantêm o país em uma posição de vulnerabilidade. Diante desse cenário, foi realizada uma pesquisa em dois eixos, competitividade e transição energética, para transformar a matriz energética sem comprometer a estabilidade e o desenvolvimento do país, mas como uma oportunidade para torná-la mais sustentável. Este artigo apresenta análise da competitividade, entendida como o conjunto de critérios que devem ser considerados para avançar rumo à autossuficiência elétrica. Para ambos os eixos, a pesquisa foi desenvolvida por meio de um método qualitativo, fundamentado na teoria fundamentada, com entrevistas a especialistas dos setores público, privado e acadêmico, além de uma matriz documental estruturada em cinco categorias de análise. Os resultados revelaram a necessidade de infraestrutura, autonomia tecnológica e planejamento territorial. É necessário fortalecer a regulação com incentivos diferenciados segundo o grau de maturidade tecnológica, além de estabelecer roteiros estratégicos. Por fim, foram identificados como critérios de competitividade: confiabilidade técnica, eficiência operacional, autonomia tecnológica e geração de valor agregado local.</w:t>
      </w:r>
    </w:p>
    <w:p w14:paraId="257E10AD" w14:textId="5B284E8B" w:rsidR="00CF5573" w:rsidRDefault="001E4133" w:rsidP="00B7707C">
      <w:pPr>
        <w:spacing w:before="100" w:beforeAutospacing="1" w:after="100" w:afterAutospacing="1"/>
        <w:ind w:left="90"/>
        <w:jc w:val="both"/>
        <w:rPr>
          <w:rFonts w:ascii="Calibri" w:eastAsia="Meiryo" w:hAnsi="Calibri" w:cs="Calibri"/>
          <w:sz w:val="22"/>
          <w:lang w:val="pt-PT"/>
        </w:rPr>
      </w:pPr>
      <w:r w:rsidRPr="00850A84">
        <w:rPr>
          <w:rFonts w:ascii="Calibri" w:eastAsia="Meiryo" w:hAnsi="Calibri" w:cs="Calibri"/>
          <w:b/>
          <w:sz w:val="22"/>
          <w:lang w:val="pt-BR"/>
        </w:rPr>
        <w:t>Palavras-chave:</w:t>
      </w:r>
      <w:r w:rsidR="007112FB" w:rsidRPr="00850A84">
        <w:rPr>
          <w:rFonts w:ascii="Calibri" w:hAnsi="Calibri" w:cs="Calibri"/>
          <w:sz w:val="22"/>
          <w:lang w:val="pt-BR"/>
        </w:rPr>
        <w:t xml:space="preserve"> </w:t>
      </w:r>
      <w:r w:rsidR="00DB0615" w:rsidRPr="00DB0615">
        <w:rPr>
          <w:rFonts w:ascii="Calibri" w:hAnsi="Calibri" w:cs="Calibri"/>
          <w:sz w:val="22"/>
          <w:lang w:val="pt-BR"/>
        </w:rPr>
        <w:t>fontes de energia, inovação tecnológica, política energética, segurança energética, sistema elétrico.</w:t>
      </w:r>
    </w:p>
    <w:p w14:paraId="55F1422D" w14:textId="77777777" w:rsidR="00F70C8E" w:rsidRDefault="001E4133" w:rsidP="00F70C8E">
      <w:pPr>
        <w:spacing w:before="100" w:beforeAutospacing="1" w:after="100" w:afterAutospacing="1"/>
        <w:ind w:left="90"/>
        <w:jc w:val="both"/>
        <w:rPr>
          <w:rFonts w:ascii="Calibri" w:eastAsia="Meiryo" w:hAnsi="Calibri" w:cs="Calibri"/>
          <w:b/>
          <w:sz w:val="22"/>
          <w:lang w:val="es-CO"/>
        </w:rPr>
      </w:pPr>
      <w:r w:rsidRPr="00FD6729">
        <w:rPr>
          <w:rFonts w:ascii="Calibri" w:eastAsia="Meiryo" w:hAnsi="Calibri" w:cs="Calibri"/>
          <w:b/>
          <w:sz w:val="22"/>
          <w:lang w:val="es-CO"/>
        </w:rPr>
        <w:t>INTRODUCCIÓN</w:t>
      </w:r>
    </w:p>
    <w:p w14:paraId="063B4660"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 xml:space="preserve">La autosuficiencia eléctrica representa un desafío estratégico en el tránsito hacia una matriz energética más sostenible, confiable y competitiva. Diversas organizaciones internacionales han subrayado su importancia como componente estructural de la seguridad energética. La Agencia Internacional de Energía ha señalado que una alta dependencia de importaciones energéticas incrementa la exposición de los países a riesgos de suministro y volatilidad de precios, afectando su estabilidad económica y operativa (International Energy Agency, 2023b). Por su parte, la Agencia Internacional de Energías Renovables plantea que la autosuficiencia energética, basada en recursos renovables autóctonos, es un pilar fundamental para mejorar la resiliencia de los sistemas eléctricos y reducir la vulnerabilidad frente a eventos externos, especialmente en contextos geopolíticamente inestables (International </w:t>
      </w:r>
      <w:proofErr w:type="spellStart"/>
      <w:r w:rsidRPr="00F46353">
        <w:rPr>
          <w:rFonts w:ascii="Calibri" w:eastAsia="Calibri" w:hAnsi="Calibri" w:cs="Calibri"/>
          <w:color w:val="000000"/>
          <w:sz w:val="22"/>
          <w:lang w:val="es-MX" w:eastAsia="es-MX"/>
        </w:rPr>
        <w:t>Renewable</w:t>
      </w:r>
      <w:proofErr w:type="spellEnd"/>
      <w:r w:rsidRPr="00F46353">
        <w:rPr>
          <w:rFonts w:ascii="Calibri" w:eastAsia="Calibri" w:hAnsi="Calibri" w:cs="Calibri"/>
          <w:color w:val="000000"/>
          <w:sz w:val="22"/>
          <w:lang w:val="es-MX" w:eastAsia="es-MX"/>
        </w:rPr>
        <w:t xml:space="preserve"> Energy Agency, 2022). De manera complementaria, la Unión Europea ha incorporado el principio de “independencia energética estratégica” como uno de los ejes de su política energética común, con énfasis en el desarrollo de capacidades nacionales y regionales para garantizar el suministro eléctrico sostenible, seguro y asequible (</w:t>
      </w:r>
      <w:proofErr w:type="spellStart"/>
      <w:r w:rsidRPr="00F46353">
        <w:rPr>
          <w:rFonts w:ascii="Calibri" w:eastAsia="Calibri" w:hAnsi="Calibri" w:cs="Calibri"/>
          <w:color w:val="000000"/>
          <w:sz w:val="22"/>
          <w:lang w:val="es-MX" w:eastAsia="es-MX"/>
        </w:rPr>
        <w:t>European</w:t>
      </w:r>
      <w:proofErr w:type="spellEnd"/>
      <w:r w:rsidRPr="00F46353">
        <w:rPr>
          <w:rFonts w:ascii="Calibri" w:eastAsia="Calibri" w:hAnsi="Calibri" w:cs="Calibri"/>
          <w:color w:val="000000"/>
          <w:sz w:val="22"/>
          <w:lang w:val="es-MX" w:eastAsia="es-MX"/>
        </w:rPr>
        <w:t xml:space="preserve"> </w:t>
      </w:r>
      <w:proofErr w:type="spellStart"/>
      <w:r w:rsidRPr="00F46353">
        <w:rPr>
          <w:rFonts w:ascii="Calibri" w:eastAsia="Calibri" w:hAnsi="Calibri" w:cs="Calibri"/>
          <w:color w:val="000000"/>
          <w:sz w:val="22"/>
          <w:lang w:val="es-MX" w:eastAsia="es-MX"/>
        </w:rPr>
        <w:t>Commission</w:t>
      </w:r>
      <w:proofErr w:type="spellEnd"/>
      <w:r w:rsidRPr="00F46353">
        <w:rPr>
          <w:rFonts w:ascii="Calibri" w:eastAsia="Calibri" w:hAnsi="Calibri" w:cs="Calibri"/>
          <w:color w:val="000000"/>
          <w:sz w:val="22"/>
          <w:lang w:val="es-MX" w:eastAsia="es-MX"/>
        </w:rPr>
        <w:t>, 2023). Estos enfoques convergen en la necesidad de diseñar modelos energéticos que prioricen el aprovechamiento de los recursos locales, el fortalecimiento de las infraestructuras críticas y la incorporación de tecnologías de respaldo como almacenamiento, generación distribuida y redes inteligentes.</w:t>
      </w:r>
    </w:p>
    <w:p w14:paraId="2B0789AC" w14:textId="77777777" w:rsidR="00F46353" w:rsidRPr="00F46353" w:rsidRDefault="00F46353" w:rsidP="00F46353">
      <w:pPr>
        <w:ind w:left="90"/>
        <w:jc w:val="both"/>
        <w:rPr>
          <w:rFonts w:ascii="Calibri" w:eastAsia="Calibri" w:hAnsi="Calibri" w:cs="Calibri"/>
          <w:color w:val="000000"/>
          <w:sz w:val="22"/>
          <w:lang w:val="es-MX" w:eastAsia="es-MX"/>
        </w:rPr>
      </w:pPr>
    </w:p>
    <w:p w14:paraId="5B39592F"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 xml:space="preserve">En México, la matriz energética ha estado dominada históricamente por combustibles fósiles, debido a la abundancia de hidrocarburos. Esta disponibilidad permitió por décadas cubrir la mayor parte de la demanda energética interna, consolidando un modelo concentrado en el aprovechamiento del petróleo y el gas natural. En 2019, la oferta interna bruta de energía se integró en un 89 % por fuentes fósiles: 51 % de petróleo, 30 % de gas natural y 8 % de carbón. Aunque esta distribución ha mostrado ligeras variaciones respecto a décadas anteriores, ha aumentado la proporción de gas natural importado, de acuerdo con datos reportados al 2023, alcanzando cerca del 70% del consumo nacional, proveniente principalmente de Estados Unidos. Esta creciente dependencia externa introduce vulnerabilidades frente a interrupciones en el suministro o fluctuaciones de precios internacionales, lo cual representa un riesgo para la seguridad energética del país (Masera </w:t>
      </w:r>
      <w:r w:rsidRPr="00F46353">
        <w:rPr>
          <w:rFonts w:ascii="Calibri" w:eastAsia="Calibri" w:hAnsi="Calibri" w:cs="Calibri"/>
          <w:i/>
          <w:iCs/>
          <w:color w:val="000000"/>
          <w:sz w:val="22"/>
          <w:lang w:val="es-MX" w:eastAsia="es-MX"/>
        </w:rPr>
        <w:t>et al</w:t>
      </w:r>
      <w:r w:rsidRPr="00F46353">
        <w:rPr>
          <w:rFonts w:ascii="Calibri" w:eastAsia="Calibri" w:hAnsi="Calibri" w:cs="Calibri"/>
          <w:color w:val="000000"/>
          <w:sz w:val="22"/>
          <w:lang w:val="es-MX" w:eastAsia="es-MX"/>
        </w:rPr>
        <w:t>., 2023). Uno de los indicadores empleados para evaluar este tipo de exposición a nivel mundial es la independencia energética, definido como el cociente entre la producción nacional de energía primaria y el consumo total. En México, este indicador ha oscilado entre 0.65 y 0.72 en los últimos años (Subsecretaría de Planeación y Transición Energética, 2023), es decir, por debajo de 1.00, lo que también refleja su dependencia externa.</w:t>
      </w:r>
    </w:p>
    <w:p w14:paraId="421F47C6" w14:textId="77777777" w:rsidR="00F46353" w:rsidRPr="00F46353" w:rsidRDefault="00F46353" w:rsidP="00F46353">
      <w:pPr>
        <w:ind w:left="90"/>
        <w:jc w:val="both"/>
        <w:rPr>
          <w:rFonts w:ascii="Calibri" w:eastAsia="Calibri" w:hAnsi="Calibri" w:cs="Calibri"/>
          <w:color w:val="000000"/>
          <w:sz w:val="22"/>
          <w:lang w:val="es-MX" w:eastAsia="es-MX"/>
        </w:rPr>
      </w:pPr>
    </w:p>
    <w:p w14:paraId="45115FC1"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 xml:space="preserve">La vulnerabilidad del país se ve acrecentada por las deficiencias estructurales como la expansión de fuentes renovables intermitentes sin una adecuada planeación e integración al Sistema Eléctrico Nacional (SEN), limitaciones en la infraestructura de transmisión (British </w:t>
      </w:r>
      <w:proofErr w:type="spellStart"/>
      <w:r w:rsidRPr="00F46353">
        <w:rPr>
          <w:rFonts w:ascii="Calibri" w:eastAsia="Calibri" w:hAnsi="Calibri" w:cs="Calibri"/>
          <w:color w:val="000000"/>
          <w:sz w:val="22"/>
          <w:lang w:val="es-MX" w:eastAsia="es-MX"/>
        </w:rPr>
        <w:t>Petroleum</w:t>
      </w:r>
      <w:proofErr w:type="spellEnd"/>
      <w:r w:rsidRPr="00F46353">
        <w:rPr>
          <w:rFonts w:ascii="Calibri" w:eastAsia="Calibri" w:hAnsi="Calibri" w:cs="Calibri"/>
          <w:color w:val="000000"/>
          <w:sz w:val="22"/>
          <w:lang w:val="es-MX" w:eastAsia="es-MX"/>
        </w:rPr>
        <w:t xml:space="preserve">, 2022), y la ausencia de mecanismos regulatorios eficaces, además de una visión estratégica limitada, en la que los incentivos a la inversión en tecnologías emergentes no contemplan riesgos tecnológicos, regulatorios y financieros, lo que dificulta su adopción y escalamiento (Larrea y Mosquera, 2024). En este contexto, se vuelve indispensable replantear la combinación de fuentes primarias a partir de criterios que consideren soberanía energética, reducción de vulnerabilidades geopolíticas y fortalecimiento tecnológico. La literatura especializada coincide en la necesidad de enfoques multidimensionales para guiar la transición energética. Mientras que Gallagher y Oh (2023) sostienen que la descarbonización requiere articular políticas climáticas con estrategias de desarrollo tecnológico capaces de impulsar la innovación y generar empleo especializado, a fin de asegurar la viabilidad económica de la transición. </w:t>
      </w:r>
      <w:proofErr w:type="spellStart"/>
      <w:r w:rsidRPr="00F46353">
        <w:rPr>
          <w:rFonts w:ascii="Calibri" w:eastAsia="Calibri" w:hAnsi="Calibri" w:cs="Calibri"/>
          <w:color w:val="000000"/>
          <w:sz w:val="22"/>
          <w:lang w:val="es-MX" w:eastAsia="es-MX"/>
        </w:rPr>
        <w:t>Sovacool</w:t>
      </w:r>
      <w:proofErr w:type="spellEnd"/>
      <w:r w:rsidRPr="00F46353">
        <w:rPr>
          <w:rFonts w:ascii="Calibri" w:eastAsia="Calibri" w:hAnsi="Calibri" w:cs="Calibri"/>
          <w:color w:val="000000"/>
          <w:sz w:val="22"/>
          <w:lang w:val="es-MX" w:eastAsia="es-MX"/>
        </w:rPr>
        <w:t xml:space="preserve"> (2017), amplía esta perspectiva al señalar que una transición energética integral debe considerar simultáneamente la seguridad energética, la sostenibilidad ambiental y la justicia social. Al trasladar estas consideraciones al ámbito específico del sector, K. Karimi y A.F. Karimi (2025) destaca que la competitividad del sector eléctrico debe incorporar eficiencia operativa, desarrollo tecnológico nacional y generación de valor agregado.</w:t>
      </w:r>
    </w:p>
    <w:p w14:paraId="46934D5F" w14:textId="77777777" w:rsidR="00F46353" w:rsidRPr="00F46353" w:rsidRDefault="00F46353" w:rsidP="00F46353">
      <w:pPr>
        <w:ind w:left="90"/>
        <w:jc w:val="both"/>
        <w:rPr>
          <w:rFonts w:ascii="Calibri" w:eastAsia="Calibri" w:hAnsi="Calibri" w:cs="Calibri"/>
          <w:color w:val="000000"/>
          <w:sz w:val="22"/>
          <w:lang w:val="es-MX" w:eastAsia="es-MX"/>
        </w:rPr>
      </w:pPr>
    </w:p>
    <w:p w14:paraId="1C0C22AF"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Es así como, la autosuficiencia eléctrica no debe entenderse únicamente como la disponibilidad de capacidad instalada, sino como una condición estructural que implica reducir la dependencia externa, y aprovechar los recursos nacionales disponibles. La competitividad energética emerge entonces como un eje transversal para habilitar esta transformación, es así como, en el presente artículo se analizan los criterios de competitividad que deberían considerarse para avanzar hacia la autosuficiencia eléctrica en México. Para ello, se examina la configuración de la política energética y su transformación en las últimas décadas, los fundamentos normativos en materia de transición, los elementos tecnológicos que inciden en la competitividad y confiabilidad del SEN, así como la disponibilidad y viabilidad de los recursos naturales con mayor potencial para la generación eléctrica en el país.</w:t>
      </w:r>
    </w:p>
    <w:p w14:paraId="189B6001" w14:textId="77777777" w:rsidR="00F46353" w:rsidRPr="00F46353" w:rsidRDefault="00F46353" w:rsidP="00F46353">
      <w:pPr>
        <w:ind w:left="90"/>
        <w:jc w:val="both"/>
        <w:rPr>
          <w:rFonts w:ascii="Calibri" w:eastAsia="Calibri" w:hAnsi="Calibri" w:cs="Calibri"/>
          <w:color w:val="000000"/>
          <w:sz w:val="22"/>
          <w:lang w:val="es-MX" w:eastAsia="es-MX"/>
        </w:rPr>
      </w:pPr>
    </w:p>
    <w:p w14:paraId="1BBEC455"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El estudio adopta un enfoque cualitativo, basado en entrevistas a actores clave del sector energético y en el análisis documental de literatura especializada, tales como planes, marcos regulatorios y políticas públicas vigentes. Se parte de los supuestos de que el marco normativo actual del sector energético promueve la autosuficiencia eléctrica mediante el fortalecimiento de la infraestructura del SEN, el impulso a fuentes autóctonas de energía y el fomento a esquemas de generación distribuida; que la legislación energética vigente favorece la transición energética y la competitividad a través de incentivos a energías limpias, regulaciones sobre emisiones y mecanismos de competencia sustentados en un despacho económico con criterios de confiabilidad; que la incorporación de tecnologías como sistemas de almacenamiento de energía, redes inteligentes y generación distribuida contribuyen a la competitividad y confiabilidad del sistema eléctrico, permitiendo una integración más eficiente de fuentes renovables y una mayor estabilidad operativa; y que México cuenta con un alto potencial de generación eléctrica a partir de recursos naturales como energía solar, eólica y geotermia.</w:t>
      </w:r>
    </w:p>
    <w:p w14:paraId="007EACAD" w14:textId="77777777" w:rsidR="00F46353" w:rsidRPr="00F46353" w:rsidRDefault="00F46353" w:rsidP="00F46353">
      <w:pPr>
        <w:ind w:left="90"/>
        <w:jc w:val="both"/>
        <w:rPr>
          <w:rFonts w:ascii="Calibri" w:eastAsia="Calibri" w:hAnsi="Calibri" w:cs="Calibri"/>
          <w:color w:val="000000"/>
          <w:sz w:val="22"/>
          <w:lang w:val="es-MX" w:eastAsia="es-MX"/>
        </w:rPr>
      </w:pPr>
    </w:p>
    <w:p w14:paraId="16B31A61" w14:textId="77777777" w:rsidR="00F46353" w:rsidRPr="00F46353" w:rsidRDefault="00F46353" w:rsidP="00F46353">
      <w:pPr>
        <w:ind w:left="90"/>
        <w:jc w:val="both"/>
        <w:rPr>
          <w:rFonts w:ascii="Calibri" w:eastAsia="Calibri" w:hAnsi="Calibri" w:cs="Calibri"/>
          <w:color w:val="000000"/>
          <w:sz w:val="22"/>
          <w:lang w:val="es-MX" w:eastAsia="es-MX"/>
        </w:rPr>
      </w:pPr>
      <w:r w:rsidRPr="00F46353">
        <w:rPr>
          <w:rFonts w:ascii="Calibri" w:eastAsia="Calibri" w:hAnsi="Calibri" w:cs="Calibri"/>
          <w:color w:val="000000"/>
          <w:sz w:val="22"/>
          <w:lang w:val="es-MX" w:eastAsia="es-MX"/>
        </w:rPr>
        <w:t xml:space="preserve">Por lo que, la investigación se plantea responder la pregunta: </w:t>
      </w:r>
      <w:r w:rsidRPr="00F46353">
        <w:rPr>
          <w:rFonts w:ascii="Calibri" w:eastAsia="Calibri" w:hAnsi="Calibri" w:cs="Calibri"/>
          <w:i/>
          <w:iCs/>
          <w:color w:val="000000"/>
          <w:sz w:val="22"/>
          <w:lang w:val="es-MX" w:eastAsia="es-MX"/>
        </w:rPr>
        <w:t>¿qué criterios de competitividad deben de considerarse para alcanzar la autosuficiencia eléctrica en México?,</w:t>
      </w:r>
      <w:r w:rsidRPr="00F46353">
        <w:rPr>
          <w:rFonts w:ascii="Calibri" w:eastAsia="Century Gothic" w:hAnsi="Calibri" w:cs="Calibri"/>
          <w:color w:val="000000"/>
          <w:sz w:val="22"/>
          <w:lang w:val="es-MX" w:eastAsia="es-MX"/>
        </w:rPr>
        <w:t xml:space="preserve"> </w:t>
      </w:r>
      <w:r w:rsidRPr="00F46353">
        <w:rPr>
          <w:rFonts w:ascii="Calibri" w:eastAsia="Calibri" w:hAnsi="Calibri" w:cs="Calibri"/>
          <w:color w:val="000000"/>
          <w:sz w:val="22"/>
          <w:lang w:val="es-MX" w:eastAsia="es-MX"/>
        </w:rPr>
        <w:t>con el fin de aportar elementos útiles para la toma de decisiones en planeación energética y contribuir al diseño de un modelo energético nacional más resiliente y sostenible.</w:t>
      </w:r>
    </w:p>
    <w:p w14:paraId="6C8863DB" w14:textId="1495E7FB" w:rsidR="00E25FDB" w:rsidRDefault="006B6C04" w:rsidP="00F70C8E">
      <w:pPr>
        <w:spacing w:before="100" w:beforeAutospacing="1" w:after="100" w:afterAutospacing="1"/>
        <w:ind w:left="90"/>
        <w:jc w:val="both"/>
        <w:rPr>
          <w:rFonts w:ascii="Calibri" w:eastAsia="Meiryo" w:hAnsi="Calibri" w:cs="Calibri"/>
          <w:b/>
          <w:sz w:val="22"/>
          <w:lang w:val="es-CO"/>
        </w:rPr>
      </w:pPr>
      <w:r w:rsidRPr="00FD6729">
        <w:rPr>
          <w:rFonts w:ascii="Calibri" w:eastAsia="Meiryo" w:hAnsi="Calibri" w:cs="Calibri"/>
          <w:b/>
          <w:sz w:val="22"/>
          <w:lang w:val="es-CO"/>
        </w:rPr>
        <w:t>MATERIALES Y MÉTODOS</w:t>
      </w:r>
    </w:p>
    <w:p w14:paraId="78ED499E" w14:textId="77777777" w:rsidR="00932639" w:rsidRPr="00932639" w:rsidRDefault="00932639" w:rsidP="00761729">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Este estudio se desarrolló bajo un enfoque cualitativo de tipo exploratorio. Se aplicó la teoría fundamentada en su vertiente sistemática, propuesta por Strauss y Corbin (2002), con el propósito de generar explicaciones inductivas a partir del análisis de discursos y documentos relacionados con la autosuficiencia eléctrica en México, y de capturar tanto las dimensiones estructurales del sistema energético como las percepciones, narrativas y estrategias de los actores involucrados sobre los desafíos de la soberanía del sector eléctrico.</w:t>
      </w:r>
    </w:p>
    <w:p w14:paraId="422E3C7E" w14:textId="77777777" w:rsidR="00932639" w:rsidRPr="00932639" w:rsidRDefault="00932639" w:rsidP="00761729">
      <w:pPr>
        <w:ind w:left="90"/>
        <w:jc w:val="both"/>
        <w:rPr>
          <w:rFonts w:ascii="Calibri" w:eastAsia="Calibri" w:hAnsi="Calibri" w:cs="Calibri"/>
          <w:color w:val="000000"/>
          <w:sz w:val="22"/>
          <w:lang w:val="es-MX" w:eastAsia="es-MX"/>
        </w:rPr>
      </w:pPr>
    </w:p>
    <w:p w14:paraId="02D37EA0" w14:textId="5B833155" w:rsidR="00932639" w:rsidRPr="00932639" w:rsidRDefault="00761729" w:rsidP="00761729">
      <w:pPr>
        <w:ind w:left="90"/>
        <w:jc w:val="both"/>
        <w:rPr>
          <w:rFonts w:ascii="Calibri" w:eastAsia="Calibri" w:hAnsi="Calibri" w:cs="Calibri"/>
          <w:b/>
          <w:bCs/>
          <w:color w:val="000000"/>
          <w:sz w:val="22"/>
          <w:lang w:val="es-MX" w:eastAsia="es-MX"/>
        </w:rPr>
      </w:pPr>
      <w:r w:rsidRPr="00932639">
        <w:rPr>
          <w:rFonts w:ascii="Calibri" w:eastAsia="Calibri" w:hAnsi="Calibri" w:cs="Calibri"/>
          <w:b/>
          <w:bCs/>
          <w:color w:val="000000"/>
          <w:sz w:val="22"/>
          <w:lang w:val="es-MX" w:eastAsia="es-MX"/>
        </w:rPr>
        <w:t>Técnicas e instrumentos</w:t>
      </w:r>
    </w:p>
    <w:p w14:paraId="06AD733B" w14:textId="77777777" w:rsidR="00932639" w:rsidRPr="00932639" w:rsidRDefault="00932639" w:rsidP="00761729">
      <w:pPr>
        <w:ind w:left="90"/>
        <w:jc w:val="both"/>
        <w:rPr>
          <w:rFonts w:ascii="Calibri" w:eastAsia="Calibri" w:hAnsi="Calibri" w:cs="Calibri"/>
          <w:b/>
          <w:bCs/>
          <w:color w:val="000000"/>
          <w:sz w:val="22"/>
          <w:lang w:val="es-MX" w:eastAsia="es-MX"/>
        </w:rPr>
      </w:pPr>
    </w:p>
    <w:p w14:paraId="472A4D44" w14:textId="77777777" w:rsidR="00932639" w:rsidRPr="00932639" w:rsidRDefault="00932639" w:rsidP="00761729">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Se implementaron como técnicas, entrevistas semiestructuradas; y un análisis documental de literatura especializada. Con el propósito de delimitar y estructurar el objeto de estudio, se definieron cinco categorías de análisis, entre las que se incluyen la competitividad y la transición energética (Rivas, 2015), estas se fundamentan en antecedentes y estudios previos sobre el tema central de la investigación.</w:t>
      </w:r>
    </w:p>
    <w:p w14:paraId="3CE30854" w14:textId="77777777" w:rsidR="00932639" w:rsidRPr="00932639" w:rsidRDefault="00932639" w:rsidP="00761729">
      <w:pPr>
        <w:ind w:left="90"/>
        <w:jc w:val="both"/>
        <w:rPr>
          <w:rFonts w:ascii="Calibri" w:eastAsia="Calibri" w:hAnsi="Calibri" w:cs="Calibri"/>
          <w:color w:val="000000"/>
          <w:sz w:val="22"/>
          <w:lang w:val="es-MX" w:eastAsia="es-MX"/>
        </w:rPr>
      </w:pPr>
    </w:p>
    <w:p w14:paraId="6CC358E0" w14:textId="77777777" w:rsidR="00932639" w:rsidRPr="00932639" w:rsidRDefault="00932639" w:rsidP="00761729">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Dichas categorías se describen a continuación:</w:t>
      </w:r>
    </w:p>
    <w:p w14:paraId="1D358BD4" w14:textId="77777777" w:rsidR="00932639" w:rsidRPr="00932639" w:rsidRDefault="00932639" w:rsidP="00761729">
      <w:pPr>
        <w:ind w:left="90"/>
        <w:jc w:val="both"/>
        <w:rPr>
          <w:rFonts w:ascii="Calibri" w:eastAsia="Calibri" w:hAnsi="Calibri" w:cs="Calibri"/>
          <w:color w:val="000000"/>
          <w:sz w:val="22"/>
          <w:lang w:val="es-MX" w:eastAsia="es-MX"/>
        </w:rPr>
      </w:pPr>
    </w:p>
    <w:p w14:paraId="2A4200A2" w14:textId="77777777" w:rsidR="00932639" w:rsidRPr="00932639" w:rsidRDefault="00932639" w:rsidP="00761729">
      <w:pPr>
        <w:numPr>
          <w:ilvl w:val="0"/>
          <w:numId w:val="19"/>
        </w:numPr>
        <w:pBdr>
          <w:top w:val="nil"/>
          <w:left w:val="nil"/>
          <w:bottom w:val="nil"/>
          <w:right w:val="nil"/>
          <w:between w:val="nil"/>
        </w:pBdr>
        <w:jc w:val="both"/>
        <w:rPr>
          <w:rFonts w:ascii="Calibri" w:eastAsia="Calibri" w:hAnsi="Calibri" w:cs="Calibri"/>
          <w:color w:val="000000"/>
          <w:sz w:val="22"/>
          <w:lang w:val="es-MX" w:eastAsia="es-MX"/>
        </w:rPr>
      </w:pPr>
      <w:r w:rsidRPr="00932639">
        <w:rPr>
          <w:rFonts w:ascii="Calibri" w:eastAsia="Calibri" w:hAnsi="Calibri" w:cs="Calibri"/>
          <w:i/>
          <w:iCs/>
          <w:color w:val="000000"/>
          <w:sz w:val="22"/>
          <w:lang w:val="es-MX" w:eastAsia="es-MX"/>
        </w:rPr>
        <w:t>Competitividad y transición energética</w:t>
      </w:r>
      <w:r w:rsidRPr="00932639">
        <w:rPr>
          <w:rFonts w:ascii="Calibri" w:eastAsia="Calibri" w:hAnsi="Calibri" w:cs="Calibri"/>
          <w:color w:val="000000"/>
          <w:sz w:val="22"/>
          <w:lang w:val="es-MX" w:eastAsia="es-MX"/>
        </w:rPr>
        <w:t>. Explora los factores que influyen en la posición competitiva del sector eléctrico, las barreras al desarrollo de energías renovables y los incentivos necesarios para su adopción.</w:t>
      </w:r>
    </w:p>
    <w:p w14:paraId="411F1EAB" w14:textId="77777777" w:rsidR="00932639" w:rsidRPr="00932639" w:rsidRDefault="00932639" w:rsidP="00761729">
      <w:pPr>
        <w:numPr>
          <w:ilvl w:val="0"/>
          <w:numId w:val="19"/>
        </w:numPr>
        <w:pBdr>
          <w:top w:val="nil"/>
          <w:left w:val="nil"/>
          <w:bottom w:val="nil"/>
          <w:right w:val="nil"/>
          <w:between w:val="nil"/>
        </w:pBdr>
        <w:jc w:val="both"/>
        <w:rPr>
          <w:rFonts w:ascii="Calibri" w:eastAsia="Calibri" w:hAnsi="Calibri" w:cs="Calibri"/>
          <w:color w:val="000000"/>
          <w:sz w:val="22"/>
          <w:lang w:val="es-MX" w:eastAsia="es-MX"/>
        </w:rPr>
      </w:pPr>
      <w:r w:rsidRPr="00932639">
        <w:rPr>
          <w:rFonts w:ascii="Calibri" w:eastAsia="Calibri" w:hAnsi="Calibri" w:cs="Calibri"/>
          <w:i/>
          <w:iCs/>
          <w:color w:val="000000"/>
          <w:sz w:val="22"/>
          <w:lang w:val="es-MX" w:eastAsia="es-MX"/>
        </w:rPr>
        <w:t>Política y regulación energética</w:t>
      </w:r>
      <w:r w:rsidRPr="00932639">
        <w:rPr>
          <w:rFonts w:ascii="Calibri" w:eastAsia="Calibri" w:hAnsi="Calibri" w:cs="Calibri"/>
          <w:color w:val="000000"/>
          <w:sz w:val="22"/>
          <w:lang w:val="es-MX" w:eastAsia="es-MX"/>
        </w:rPr>
        <w:t>. Examina el marco normativo vigente, su impacto en la inversión y las reformas necesarias para la transición energética.</w:t>
      </w:r>
    </w:p>
    <w:p w14:paraId="61E85B76" w14:textId="77777777" w:rsidR="00932639" w:rsidRPr="00932639" w:rsidRDefault="00932639" w:rsidP="00761729">
      <w:pPr>
        <w:numPr>
          <w:ilvl w:val="0"/>
          <w:numId w:val="19"/>
        </w:numPr>
        <w:pBdr>
          <w:top w:val="nil"/>
          <w:left w:val="nil"/>
          <w:bottom w:val="nil"/>
          <w:right w:val="nil"/>
          <w:between w:val="nil"/>
        </w:pBdr>
        <w:jc w:val="both"/>
        <w:rPr>
          <w:rFonts w:ascii="Calibri" w:eastAsia="Calibri" w:hAnsi="Calibri" w:cs="Calibri"/>
          <w:color w:val="000000"/>
          <w:sz w:val="22"/>
          <w:lang w:val="es-MX" w:eastAsia="es-MX"/>
        </w:rPr>
      </w:pPr>
      <w:r w:rsidRPr="00932639">
        <w:rPr>
          <w:rFonts w:ascii="Calibri" w:eastAsia="Calibri" w:hAnsi="Calibri" w:cs="Calibri"/>
          <w:i/>
          <w:iCs/>
          <w:color w:val="000000"/>
          <w:sz w:val="22"/>
          <w:lang w:val="es-MX" w:eastAsia="es-MX"/>
        </w:rPr>
        <w:t>Avances tecnológicos en la confiabilidad del SEN</w:t>
      </w:r>
      <w:r w:rsidRPr="00932639">
        <w:rPr>
          <w:rFonts w:ascii="Calibri" w:eastAsia="Calibri" w:hAnsi="Calibri" w:cs="Calibri"/>
          <w:color w:val="000000"/>
          <w:sz w:val="22"/>
          <w:lang w:val="es-MX" w:eastAsia="es-MX"/>
        </w:rPr>
        <w:t>. Analiza el impacto de la digitalización, almacenamiento de energía y modernización de la red eléctrica en la estabilidad del sistema, y en general, la adopción de innovaciones tecnológicas.</w:t>
      </w:r>
    </w:p>
    <w:p w14:paraId="2A09B9CD" w14:textId="77777777" w:rsidR="00932639" w:rsidRPr="00932639" w:rsidRDefault="00932639" w:rsidP="00761729">
      <w:pPr>
        <w:numPr>
          <w:ilvl w:val="0"/>
          <w:numId w:val="19"/>
        </w:numPr>
        <w:pBdr>
          <w:top w:val="nil"/>
          <w:left w:val="nil"/>
          <w:bottom w:val="nil"/>
          <w:right w:val="nil"/>
          <w:between w:val="nil"/>
        </w:pBdr>
        <w:jc w:val="both"/>
        <w:rPr>
          <w:rFonts w:ascii="Calibri" w:eastAsia="Calibri" w:hAnsi="Calibri" w:cs="Calibri"/>
          <w:color w:val="000000"/>
          <w:sz w:val="22"/>
          <w:lang w:val="es-MX" w:eastAsia="es-MX"/>
        </w:rPr>
      </w:pPr>
      <w:r w:rsidRPr="00932639">
        <w:rPr>
          <w:rFonts w:ascii="Calibri" w:eastAsia="Calibri" w:hAnsi="Calibri" w:cs="Calibri"/>
          <w:i/>
          <w:iCs/>
          <w:color w:val="000000"/>
          <w:sz w:val="22"/>
          <w:lang w:val="es-MX" w:eastAsia="es-MX"/>
        </w:rPr>
        <w:t>Disponibilidad de recursos naturales y autosuficiencia</w:t>
      </w:r>
      <w:r w:rsidRPr="00932639">
        <w:rPr>
          <w:rFonts w:ascii="Calibri" w:eastAsia="Calibri" w:hAnsi="Calibri" w:cs="Calibri"/>
          <w:b/>
          <w:bCs/>
          <w:color w:val="000000"/>
          <w:sz w:val="22"/>
          <w:lang w:val="es-MX" w:eastAsia="es-MX"/>
        </w:rPr>
        <w:t xml:space="preserve">. </w:t>
      </w:r>
      <w:r w:rsidRPr="00932639">
        <w:rPr>
          <w:rFonts w:ascii="Calibri" w:eastAsia="Calibri" w:hAnsi="Calibri" w:cs="Calibri"/>
          <w:color w:val="000000"/>
          <w:sz w:val="22"/>
          <w:lang w:val="es-MX" w:eastAsia="es-MX"/>
        </w:rPr>
        <w:t>Identifica la capacidad del país para aprovechar sus recursos energéticos y reducir la dependencia de importaciones.</w:t>
      </w:r>
    </w:p>
    <w:p w14:paraId="5229B195" w14:textId="77777777" w:rsidR="00932639" w:rsidRPr="00932639" w:rsidRDefault="00932639" w:rsidP="00761729">
      <w:pPr>
        <w:numPr>
          <w:ilvl w:val="0"/>
          <w:numId w:val="19"/>
        </w:numPr>
        <w:pBdr>
          <w:top w:val="nil"/>
          <w:left w:val="nil"/>
          <w:bottom w:val="nil"/>
          <w:right w:val="nil"/>
          <w:between w:val="nil"/>
        </w:pBdr>
        <w:jc w:val="both"/>
        <w:rPr>
          <w:rFonts w:ascii="Calibri" w:eastAsia="Calibri" w:hAnsi="Calibri" w:cs="Calibri"/>
          <w:color w:val="000000"/>
          <w:sz w:val="22"/>
          <w:lang w:val="es-MX" w:eastAsia="es-MX"/>
        </w:rPr>
      </w:pPr>
      <w:r w:rsidRPr="00932639">
        <w:rPr>
          <w:rFonts w:ascii="Calibri" w:eastAsia="Calibri" w:hAnsi="Calibri" w:cs="Calibri"/>
          <w:i/>
          <w:iCs/>
          <w:color w:val="000000"/>
          <w:sz w:val="22"/>
          <w:lang w:val="es-MX" w:eastAsia="es-MX"/>
        </w:rPr>
        <w:t>Evaluación de prospectivas energéticas</w:t>
      </w:r>
      <w:r w:rsidRPr="00932639">
        <w:rPr>
          <w:rFonts w:ascii="Calibri" w:eastAsia="Calibri" w:hAnsi="Calibri" w:cs="Calibri"/>
          <w:color w:val="000000"/>
          <w:sz w:val="22"/>
          <w:lang w:val="es-MX" w:eastAsia="es-MX"/>
        </w:rPr>
        <w:t>. Reconoce tendencias, innovaciones y riesgos que definirán el futuro del sector energético en las próximas décadas.</w:t>
      </w:r>
    </w:p>
    <w:p w14:paraId="248E7F3E" w14:textId="77777777" w:rsidR="00932639" w:rsidRPr="00932639" w:rsidRDefault="00932639" w:rsidP="00761729">
      <w:pPr>
        <w:ind w:left="90"/>
        <w:jc w:val="both"/>
        <w:rPr>
          <w:rFonts w:ascii="Calibri" w:eastAsia="Calibri" w:hAnsi="Calibri" w:cs="Calibri"/>
          <w:color w:val="000000"/>
          <w:sz w:val="22"/>
          <w:lang w:val="es-MX" w:eastAsia="es-MX"/>
        </w:rPr>
      </w:pPr>
    </w:p>
    <w:p w14:paraId="09B42666" w14:textId="77777777" w:rsidR="00932639" w:rsidRPr="00932639" w:rsidRDefault="00932639" w:rsidP="00761729">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Para la realización de las entrevistas, se seleccionaron testigos privilegiados (</w:t>
      </w:r>
      <w:r w:rsidRPr="00932639">
        <w:rPr>
          <w:rFonts w:ascii="Calibri" w:eastAsia="Calibri" w:hAnsi="Calibri" w:cs="Calibri"/>
          <w:i/>
          <w:iCs/>
          <w:color w:val="000000"/>
          <w:sz w:val="22"/>
          <w:lang w:val="es-MX" w:eastAsia="es-MX"/>
        </w:rPr>
        <w:t>tabla 1</w:t>
      </w:r>
      <w:r w:rsidRPr="00932639">
        <w:rPr>
          <w:rFonts w:ascii="Calibri" w:eastAsia="Calibri" w:hAnsi="Calibri" w:cs="Calibri"/>
          <w:color w:val="000000"/>
          <w:sz w:val="22"/>
          <w:lang w:val="es-MX" w:eastAsia="es-MX"/>
        </w:rPr>
        <w:t>), que refiere a individuos que, por su posición, responsabilidades o trayectoria en el sector energético, poseen un conocimiento detallado y una visión estratégica del problema a investigar. Su participación garantiza una perspectiva amplia y multidisciplinaria sobre el estudio (Baena, 2017). Según Moreno (2022), en los estudios cualitativos es común emplear muestras reducidas y no aleatorias, lo que no significa que la calidad de la selección de los participantes sea inadecuada, sino que responde a criterios específicos establecidos por el investigador. Es importante considerar que la investigación cualitativa no busca necesariamente la generalización de sus hallazgos, sino que, en muchos casos, se centra en el análisis de casos específicos con un valor intrínseco, ya sea para comprender significados profundos o para reflejar múltiples realidades. En esta investigación, se optó por un muestreo intencional o de conveniencia, un tipo de muestreo no probabilístico en el que los participantes son seleccionados deliberadamente con base en su relevancia para el estudio.</w:t>
      </w:r>
    </w:p>
    <w:p w14:paraId="5F31C55C" w14:textId="77777777" w:rsidR="00932639" w:rsidRPr="00932639" w:rsidRDefault="00932639" w:rsidP="00932639">
      <w:pPr>
        <w:jc w:val="both"/>
        <w:rPr>
          <w:rFonts w:ascii="Calibri" w:eastAsia="Calibri" w:hAnsi="Calibri" w:cs="Calibri"/>
          <w:color w:val="000000"/>
          <w:sz w:val="20"/>
          <w:szCs w:val="20"/>
          <w:lang w:val="es-MX" w:eastAsia="es-MX"/>
        </w:rPr>
      </w:pPr>
    </w:p>
    <w:p w14:paraId="136D3E01" w14:textId="77777777" w:rsidR="00932639" w:rsidRDefault="00932639" w:rsidP="00932639">
      <w:pPr>
        <w:jc w:val="center"/>
        <w:rPr>
          <w:rFonts w:ascii="Calibri" w:eastAsia="Calibri" w:hAnsi="Calibri" w:cs="Calibri"/>
          <w:i/>
          <w:iCs/>
          <w:color w:val="000000"/>
          <w:sz w:val="20"/>
          <w:szCs w:val="20"/>
          <w:lang w:val="es-MX" w:eastAsia="es-MX"/>
        </w:rPr>
      </w:pPr>
      <w:r w:rsidRPr="00932639">
        <w:rPr>
          <w:rFonts w:ascii="Calibri" w:eastAsia="Calibri" w:hAnsi="Calibri" w:cs="Calibri"/>
          <w:b/>
          <w:bCs/>
          <w:color w:val="000000"/>
          <w:sz w:val="20"/>
          <w:szCs w:val="20"/>
          <w:lang w:val="es-MX" w:eastAsia="es-MX"/>
        </w:rPr>
        <w:t xml:space="preserve">Tabla 1. </w:t>
      </w:r>
      <w:r w:rsidRPr="00932639">
        <w:rPr>
          <w:rFonts w:ascii="Calibri" w:eastAsia="Calibri" w:hAnsi="Calibri" w:cs="Calibri"/>
          <w:i/>
          <w:iCs/>
          <w:color w:val="000000"/>
          <w:sz w:val="20"/>
          <w:szCs w:val="20"/>
          <w:lang w:val="es-MX" w:eastAsia="es-MX"/>
        </w:rPr>
        <w:t>Descripción de participantes en las entrevistas semiestructuradas.</w:t>
      </w:r>
    </w:p>
    <w:p w14:paraId="1A13E5A5" w14:textId="77777777" w:rsidR="00761729" w:rsidRPr="00932639" w:rsidRDefault="00761729" w:rsidP="00932639">
      <w:pPr>
        <w:jc w:val="center"/>
        <w:rPr>
          <w:rFonts w:ascii="Calibri" w:eastAsia="Calibri" w:hAnsi="Calibri" w:cs="Calibri"/>
          <w:i/>
          <w:iCs/>
          <w:color w:val="000000"/>
          <w:sz w:val="20"/>
          <w:szCs w:val="20"/>
          <w:lang w:val="es-MX" w:eastAsia="es-MX"/>
        </w:rPr>
      </w:pPr>
    </w:p>
    <w:tbl>
      <w:tblPr>
        <w:tblW w:w="891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271"/>
        <w:gridCol w:w="1711"/>
        <w:gridCol w:w="3392"/>
        <w:gridCol w:w="2536"/>
      </w:tblGrid>
      <w:tr w:rsidR="00932639" w:rsidRPr="00932639" w14:paraId="584E9BDF" w14:textId="77777777" w:rsidTr="00761729">
        <w:trPr>
          <w:trHeight w:val="240"/>
          <w:jc w:val="center"/>
        </w:trPr>
        <w:tc>
          <w:tcPr>
            <w:tcW w:w="1271" w:type="dxa"/>
            <w:tcBorders>
              <w:top w:val="single" w:sz="4" w:space="0" w:color="auto"/>
              <w:left w:val="nil"/>
              <w:bottom w:val="single" w:sz="4" w:space="0" w:color="auto"/>
              <w:right w:val="nil"/>
            </w:tcBorders>
            <w:vAlign w:val="center"/>
          </w:tcPr>
          <w:p w14:paraId="60F06F33" w14:textId="77777777" w:rsidR="00932639" w:rsidRPr="00932639" w:rsidRDefault="00932639" w:rsidP="00932639">
            <w:pPr>
              <w:jc w:val="center"/>
              <w:rPr>
                <w:rFonts w:ascii="Calibri" w:eastAsia="Calibri" w:hAnsi="Calibri" w:cs="Calibri"/>
                <w:b/>
                <w:bCs/>
                <w:color w:val="000000"/>
                <w:sz w:val="20"/>
                <w:szCs w:val="20"/>
                <w:lang w:val="es-MX" w:eastAsia="es-MX"/>
              </w:rPr>
            </w:pPr>
            <w:r w:rsidRPr="00932639">
              <w:rPr>
                <w:rFonts w:ascii="Calibri" w:eastAsia="Calibri" w:hAnsi="Calibri" w:cs="Calibri"/>
                <w:b/>
                <w:bCs/>
                <w:color w:val="000000"/>
                <w:sz w:val="20"/>
                <w:szCs w:val="20"/>
                <w:lang w:val="es-MX" w:eastAsia="es-MX"/>
              </w:rPr>
              <w:t>Sector</w:t>
            </w:r>
          </w:p>
        </w:tc>
        <w:tc>
          <w:tcPr>
            <w:tcW w:w="1711" w:type="dxa"/>
            <w:tcBorders>
              <w:top w:val="single" w:sz="4" w:space="0" w:color="auto"/>
              <w:left w:val="nil"/>
              <w:bottom w:val="single" w:sz="4" w:space="0" w:color="auto"/>
              <w:right w:val="nil"/>
            </w:tcBorders>
            <w:vAlign w:val="center"/>
          </w:tcPr>
          <w:p w14:paraId="02E6D245" w14:textId="77777777" w:rsidR="00932639" w:rsidRPr="00932639" w:rsidRDefault="00932639" w:rsidP="00932639">
            <w:pPr>
              <w:jc w:val="center"/>
              <w:rPr>
                <w:rFonts w:ascii="Calibri" w:eastAsia="Calibri" w:hAnsi="Calibri" w:cs="Calibri"/>
                <w:b/>
                <w:bCs/>
                <w:color w:val="000000"/>
                <w:sz w:val="20"/>
                <w:szCs w:val="20"/>
                <w:lang w:val="es-MX" w:eastAsia="es-MX"/>
              </w:rPr>
            </w:pPr>
            <w:r w:rsidRPr="00932639">
              <w:rPr>
                <w:rFonts w:ascii="Calibri" w:eastAsia="Calibri" w:hAnsi="Calibri" w:cs="Calibri"/>
                <w:b/>
                <w:bCs/>
                <w:color w:val="000000"/>
                <w:sz w:val="20"/>
                <w:szCs w:val="20"/>
                <w:lang w:val="es-MX" w:eastAsia="es-MX"/>
              </w:rPr>
              <w:t>Institución</w:t>
            </w:r>
          </w:p>
        </w:tc>
        <w:tc>
          <w:tcPr>
            <w:tcW w:w="3392" w:type="dxa"/>
            <w:tcBorders>
              <w:top w:val="single" w:sz="4" w:space="0" w:color="auto"/>
              <w:left w:val="nil"/>
              <w:bottom w:val="single" w:sz="4" w:space="0" w:color="auto"/>
              <w:right w:val="nil"/>
            </w:tcBorders>
            <w:vAlign w:val="center"/>
          </w:tcPr>
          <w:p w14:paraId="6C1D5344" w14:textId="77777777" w:rsidR="00932639" w:rsidRPr="00932639" w:rsidRDefault="00932639" w:rsidP="00932639">
            <w:pPr>
              <w:jc w:val="center"/>
              <w:rPr>
                <w:rFonts w:ascii="Calibri" w:eastAsia="Calibri" w:hAnsi="Calibri" w:cs="Calibri"/>
                <w:b/>
                <w:bCs/>
                <w:color w:val="000000"/>
                <w:sz w:val="20"/>
                <w:szCs w:val="20"/>
                <w:lang w:val="es-MX" w:eastAsia="es-MX"/>
              </w:rPr>
            </w:pPr>
            <w:r w:rsidRPr="00932639">
              <w:rPr>
                <w:rFonts w:ascii="Calibri" w:eastAsia="Calibri" w:hAnsi="Calibri" w:cs="Calibri"/>
                <w:b/>
                <w:bCs/>
                <w:color w:val="000000"/>
                <w:sz w:val="20"/>
                <w:szCs w:val="20"/>
                <w:lang w:val="es-MX" w:eastAsia="es-MX"/>
              </w:rPr>
              <w:t>Funciones</w:t>
            </w:r>
          </w:p>
        </w:tc>
        <w:tc>
          <w:tcPr>
            <w:tcW w:w="2536" w:type="dxa"/>
            <w:tcBorders>
              <w:top w:val="single" w:sz="4" w:space="0" w:color="auto"/>
              <w:left w:val="nil"/>
              <w:bottom w:val="single" w:sz="4" w:space="0" w:color="auto"/>
              <w:right w:val="nil"/>
            </w:tcBorders>
            <w:vAlign w:val="center"/>
          </w:tcPr>
          <w:p w14:paraId="3C104C5F" w14:textId="77777777" w:rsidR="00932639" w:rsidRPr="00932639" w:rsidRDefault="00932639" w:rsidP="00932639">
            <w:pPr>
              <w:jc w:val="center"/>
              <w:rPr>
                <w:rFonts w:ascii="Calibri" w:eastAsia="Calibri" w:hAnsi="Calibri" w:cs="Calibri"/>
                <w:b/>
                <w:bCs/>
                <w:color w:val="000000"/>
                <w:sz w:val="20"/>
                <w:szCs w:val="20"/>
                <w:lang w:val="es-MX" w:eastAsia="es-MX"/>
              </w:rPr>
            </w:pPr>
            <w:r w:rsidRPr="00932639">
              <w:rPr>
                <w:rFonts w:ascii="Calibri" w:eastAsia="Calibri" w:hAnsi="Calibri" w:cs="Calibri"/>
                <w:b/>
                <w:bCs/>
                <w:color w:val="000000"/>
                <w:sz w:val="20"/>
                <w:szCs w:val="20"/>
                <w:lang w:val="es-MX" w:eastAsia="es-MX"/>
              </w:rPr>
              <w:t>Personas seleccionadas</w:t>
            </w:r>
          </w:p>
        </w:tc>
      </w:tr>
      <w:tr w:rsidR="00932639" w:rsidRPr="00932639" w14:paraId="2486C265" w14:textId="77777777" w:rsidTr="00761729">
        <w:trPr>
          <w:trHeight w:val="713"/>
          <w:jc w:val="center"/>
        </w:trPr>
        <w:tc>
          <w:tcPr>
            <w:tcW w:w="1271" w:type="dxa"/>
            <w:vMerge w:val="restart"/>
            <w:tcBorders>
              <w:top w:val="single" w:sz="4" w:space="0" w:color="auto"/>
              <w:left w:val="nil"/>
              <w:bottom w:val="nil"/>
              <w:right w:val="nil"/>
            </w:tcBorders>
            <w:vAlign w:val="center"/>
          </w:tcPr>
          <w:p w14:paraId="5ABE9F2A"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Público</w:t>
            </w:r>
          </w:p>
        </w:tc>
        <w:tc>
          <w:tcPr>
            <w:tcW w:w="1711" w:type="dxa"/>
            <w:tcBorders>
              <w:top w:val="single" w:sz="4" w:space="0" w:color="auto"/>
              <w:left w:val="nil"/>
              <w:bottom w:val="nil"/>
              <w:right w:val="nil"/>
            </w:tcBorders>
            <w:vAlign w:val="center"/>
          </w:tcPr>
          <w:p w14:paraId="5DECF056"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Secretaría de Energía (SENER).</w:t>
            </w:r>
          </w:p>
        </w:tc>
        <w:tc>
          <w:tcPr>
            <w:tcW w:w="3392" w:type="dxa"/>
            <w:tcBorders>
              <w:top w:val="single" w:sz="4" w:space="0" w:color="auto"/>
              <w:left w:val="nil"/>
              <w:bottom w:val="nil"/>
              <w:right w:val="nil"/>
            </w:tcBorders>
            <w:vAlign w:val="center"/>
          </w:tcPr>
          <w:p w14:paraId="65CD0A87"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Encargada de la política energética del país y la regulación del sector.</w:t>
            </w:r>
          </w:p>
        </w:tc>
        <w:tc>
          <w:tcPr>
            <w:tcW w:w="2536" w:type="dxa"/>
            <w:tcBorders>
              <w:top w:val="single" w:sz="4" w:space="0" w:color="auto"/>
              <w:left w:val="nil"/>
              <w:bottom w:val="nil"/>
              <w:right w:val="nil"/>
            </w:tcBorders>
            <w:vAlign w:val="center"/>
          </w:tcPr>
          <w:p w14:paraId="0619BD7B"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Un especialista con responsabilidad en política energética.</w:t>
            </w:r>
          </w:p>
        </w:tc>
      </w:tr>
      <w:tr w:rsidR="00932639" w:rsidRPr="00932639" w14:paraId="3D51D57A" w14:textId="77777777" w:rsidTr="00761729">
        <w:trPr>
          <w:trHeight w:val="1000"/>
          <w:jc w:val="center"/>
        </w:trPr>
        <w:tc>
          <w:tcPr>
            <w:tcW w:w="1271" w:type="dxa"/>
            <w:vMerge/>
            <w:tcBorders>
              <w:top w:val="nil"/>
              <w:left w:val="nil"/>
              <w:bottom w:val="nil"/>
              <w:right w:val="nil"/>
            </w:tcBorders>
            <w:vAlign w:val="center"/>
          </w:tcPr>
          <w:p w14:paraId="60DC64B2" w14:textId="77777777" w:rsidR="00932639" w:rsidRPr="00932639" w:rsidRDefault="00932639" w:rsidP="00932639">
            <w:pPr>
              <w:widowControl w:val="0"/>
              <w:pBdr>
                <w:top w:val="nil"/>
                <w:left w:val="nil"/>
                <w:bottom w:val="nil"/>
                <w:right w:val="nil"/>
                <w:between w:val="nil"/>
              </w:pBdr>
              <w:jc w:val="center"/>
              <w:rPr>
                <w:rFonts w:ascii="Calibri" w:eastAsia="Calibri" w:hAnsi="Calibri" w:cs="Calibri"/>
                <w:b/>
                <w:bCs/>
                <w:color w:val="000000"/>
                <w:sz w:val="20"/>
                <w:szCs w:val="20"/>
                <w:lang w:val="es-MX" w:eastAsia="es-MX"/>
              </w:rPr>
            </w:pPr>
          </w:p>
        </w:tc>
        <w:tc>
          <w:tcPr>
            <w:tcW w:w="1711" w:type="dxa"/>
            <w:tcBorders>
              <w:top w:val="nil"/>
              <w:left w:val="nil"/>
              <w:bottom w:val="nil"/>
              <w:right w:val="nil"/>
            </w:tcBorders>
            <w:vAlign w:val="center"/>
          </w:tcPr>
          <w:p w14:paraId="020FEFDD"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Comisión Reguladora de Energía</w:t>
            </w:r>
          </w:p>
          <w:p w14:paraId="387193AE"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(extinguida en 2025).</w:t>
            </w:r>
          </w:p>
        </w:tc>
        <w:tc>
          <w:tcPr>
            <w:tcW w:w="3392" w:type="dxa"/>
            <w:tcBorders>
              <w:top w:val="nil"/>
              <w:left w:val="nil"/>
              <w:bottom w:val="nil"/>
              <w:right w:val="nil"/>
            </w:tcBorders>
            <w:vAlign w:val="center"/>
          </w:tcPr>
          <w:p w14:paraId="783B3BFF"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Encargada de regular el mercado energético, incluyendo electricidad, gas natural y productos petrolíferos.</w:t>
            </w:r>
          </w:p>
        </w:tc>
        <w:tc>
          <w:tcPr>
            <w:tcW w:w="2536" w:type="dxa"/>
            <w:tcBorders>
              <w:top w:val="nil"/>
              <w:left w:val="nil"/>
              <w:bottom w:val="nil"/>
              <w:right w:val="nil"/>
            </w:tcBorders>
            <w:vAlign w:val="center"/>
          </w:tcPr>
          <w:p w14:paraId="1379A8EA"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Un especialista con responsabilidad en la regulación energética.</w:t>
            </w:r>
          </w:p>
        </w:tc>
      </w:tr>
      <w:tr w:rsidR="00932639" w:rsidRPr="00932639" w14:paraId="1C78B094" w14:textId="77777777" w:rsidTr="00761729">
        <w:trPr>
          <w:trHeight w:val="723"/>
          <w:jc w:val="center"/>
        </w:trPr>
        <w:tc>
          <w:tcPr>
            <w:tcW w:w="1271" w:type="dxa"/>
            <w:vMerge/>
            <w:tcBorders>
              <w:top w:val="nil"/>
              <w:left w:val="nil"/>
              <w:bottom w:val="single" w:sz="4" w:space="0" w:color="auto"/>
              <w:right w:val="nil"/>
            </w:tcBorders>
            <w:vAlign w:val="center"/>
          </w:tcPr>
          <w:p w14:paraId="07777334" w14:textId="77777777" w:rsidR="00932639" w:rsidRPr="00932639" w:rsidRDefault="00932639" w:rsidP="00932639">
            <w:pPr>
              <w:widowControl w:val="0"/>
              <w:pBdr>
                <w:top w:val="nil"/>
                <w:left w:val="nil"/>
                <w:bottom w:val="nil"/>
                <w:right w:val="nil"/>
                <w:between w:val="nil"/>
              </w:pBdr>
              <w:jc w:val="center"/>
              <w:rPr>
                <w:rFonts w:ascii="Calibri" w:eastAsia="Calibri" w:hAnsi="Calibri" w:cs="Calibri"/>
                <w:b/>
                <w:bCs/>
                <w:color w:val="000000"/>
                <w:sz w:val="20"/>
                <w:szCs w:val="20"/>
                <w:lang w:val="es-MX" w:eastAsia="es-MX"/>
              </w:rPr>
            </w:pPr>
          </w:p>
        </w:tc>
        <w:tc>
          <w:tcPr>
            <w:tcW w:w="1711" w:type="dxa"/>
            <w:tcBorders>
              <w:top w:val="nil"/>
              <w:left w:val="nil"/>
              <w:bottom w:val="single" w:sz="4" w:space="0" w:color="auto"/>
              <w:right w:val="nil"/>
            </w:tcBorders>
            <w:vAlign w:val="center"/>
          </w:tcPr>
          <w:p w14:paraId="0C8B491E"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Comisión Federal de Electricidad.</w:t>
            </w:r>
          </w:p>
        </w:tc>
        <w:tc>
          <w:tcPr>
            <w:tcW w:w="3392" w:type="dxa"/>
            <w:tcBorders>
              <w:top w:val="nil"/>
              <w:left w:val="nil"/>
              <w:bottom w:val="single" w:sz="4" w:space="0" w:color="auto"/>
              <w:right w:val="nil"/>
            </w:tcBorders>
            <w:vAlign w:val="center"/>
          </w:tcPr>
          <w:p w14:paraId="5680B25A"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Empresa encargada de la generación, transmisión, distribución y comercialización del suministro de energía eléctrica en México.</w:t>
            </w:r>
          </w:p>
        </w:tc>
        <w:tc>
          <w:tcPr>
            <w:tcW w:w="2536" w:type="dxa"/>
            <w:tcBorders>
              <w:top w:val="nil"/>
              <w:left w:val="nil"/>
              <w:bottom w:val="single" w:sz="4" w:space="0" w:color="auto"/>
              <w:right w:val="nil"/>
            </w:tcBorders>
            <w:vAlign w:val="center"/>
          </w:tcPr>
          <w:p w14:paraId="22471837"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Dos especialistas con responsabilidad en la toma de decisiones en la dirección de la empresa.</w:t>
            </w:r>
          </w:p>
        </w:tc>
      </w:tr>
      <w:tr w:rsidR="00932639" w:rsidRPr="00932639" w14:paraId="6FC6F358" w14:textId="77777777" w:rsidTr="00761729">
        <w:trPr>
          <w:trHeight w:val="1036"/>
          <w:jc w:val="center"/>
        </w:trPr>
        <w:tc>
          <w:tcPr>
            <w:tcW w:w="1271" w:type="dxa"/>
            <w:vMerge w:val="restart"/>
            <w:tcBorders>
              <w:top w:val="single" w:sz="4" w:space="0" w:color="auto"/>
              <w:left w:val="nil"/>
              <w:bottom w:val="nil"/>
              <w:right w:val="nil"/>
            </w:tcBorders>
            <w:vAlign w:val="center"/>
          </w:tcPr>
          <w:p w14:paraId="5D1AD2E3" w14:textId="77777777" w:rsidR="00932639" w:rsidRPr="00932639" w:rsidRDefault="00932639" w:rsidP="00932639">
            <w:pPr>
              <w:spacing w:after="240"/>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Ámbito académico</w:t>
            </w:r>
          </w:p>
          <w:p w14:paraId="69194659" w14:textId="77777777" w:rsidR="00932639" w:rsidRPr="00932639" w:rsidRDefault="00932639" w:rsidP="00932639">
            <w:pPr>
              <w:spacing w:after="240"/>
              <w:jc w:val="center"/>
              <w:rPr>
                <w:rFonts w:ascii="Calibri" w:eastAsia="Calibri" w:hAnsi="Calibri" w:cs="Calibri"/>
                <w:b/>
                <w:bCs/>
                <w:color w:val="000000"/>
                <w:sz w:val="20"/>
                <w:szCs w:val="20"/>
                <w:lang w:val="es-MX" w:eastAsia="es-MX"/>
              </w:rPr>
            </w:pPr>
          </w:p>
        </w:tc>
        <w:tc>
          <w:tcPr>
            <w:tcW w:w="1711" w:type="dxa"/>
            <w:tcBorders>
              <w:top w:val="single" w:sz="4" w:space="0" w:color="auto"/>
              <w:left w:val="nil"/>
              <w:bottom w:val="nil"/>
              <w:right w:val="nil"/>
            </w:tcBorders>
            <w:vAlign w:val="center"/>
          </w:tcPr>
          <w:p w14:paraId="09ACB627" w14:textId="77777777" w:rsidR="00932639" w:rsidRPr="00932639" w:rsidRDefault="00932639" w:rsidP="00932639">
            <w:pPr>
              <w:spacing w:before="100" w:beforeAutospacing="1" w:after="240"/>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Instituto Nacional de Electricidad y Energías Limpias.</w:t>
            </w:r>
          </w:p>
        </w:tc>
        <w:tc>
          <w:tcPr>
            <w:tcW w:w="3392" w:type="dxa"/>
            <w:tcBorders>
              <w:top w:val="single" w:sz="4" w:space="0" w:color="auto"/>
              <w:left w:val="nil"/>
              <w:bottom w:val="nil"/>
              <w:right w:val="nil"/>
            </w:tcBorders>
            <w:vAlign w:val="center"/>
          </w:tcPr>
          <w:p w14:paraId="41D4A646" w14:textId="77777777" w:rsidR="00932639" w:rsidRPr="00932639" w:rsidRDefault="00932639" w:rsidP="00932639">
            <w:pPr>
              <w:spacing w:before="100" w:beforeAutospacing="1" w:after="240"/>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Realiza investigación aplicada y desarrollo tecnológico en apoyo a la soberanía energética y al desarrollo sostenible en materia de electricidad y energías limpias.</w:t>
            </w:r>
          </w:p>
        </w:tc>
        <w:tc>
          <w:tcPr>
            <w:tcW w:w="2536" w:type="dxa"/>
            <w:tcBorders>
              <w:top w:val="single" w:sz="4" w:space="0" w:color="auto"/>
              <w:left w:val="nil"/>
              <w:bottom w:val="nil"/>
              <w:right w:val="nil"/>
            </w:tcBorders>
            <w:vAlign w:val="center"/>
          </w:tcPr>
          <w:p w14:paraId="15FB9670" w14:textId="77777777" w:rsidR="00932639" w:rsidRPr="00932639" w:rsidRDefault="00932639" w:rsidP="00932639">
            <w:pPr>
              <w:spacing w:before="100" w:beforeAutospacing="1" w:after="240"/>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Un investigador con publicaciones relevantes en el área de energía, miembro de centros de investigación, y con trayectoria docente en el estudio de políticas y tecnologías energéticas.</w:t>
            </w:r>
          </w:p>
        </w:tc>
      </w:tr>
      <w:tr w:rsidR="00932639" w:rsidRPr="00932639" w14:paraId="71C6EDAD" w14:textId="77777777" w:rsidTr="00761729">
        <w:trPr>
          <w:trHeight w:val="1036"/>
          <w:jc w:val="center"/>
        </w:trPr>
        <w:tc>
          <w:tcPr>
            <w:tcW w:w="1271" w:type="dxa"/>
            <w:vMerge/>
            <w:tcBorders>
              <w:top w:val="nil"/>
              <w:left w:val="nil"/>
              <w:bottom w:val="single" w:sz="4" w:space="0" w:color="auto"/>
              <w:right w:val="nil"/>
            </w:tcBorders>
            <w:vAlign w:val="center"/>
          </w:tcPr>
          <w:p w14:paraId="3E725AB3" w14:textId="77777777" w:rsidR="00932639" w:rsidRPr="00932639" w:rsidRDefault="00932639" w:rsidP="00932639">
            <w:pPr>
              <w:widowControl w:val="0"/>
              <w:pBdr>
                <w:top w:val="nil"/>
                <w:left w:val="nil"/>
                <w:bottom w:val="nil"/>
                <w:right w:val="nil"/>
                <w:between w:val="nil"/>
              </w:pBdr>
              <w:jc w:val="center"/>
              <w:rPr>
                <w:rFonts w:ascii="Calibri" w:eastAsia="Calibri" w:hAnsi="Calibri" w:cs="Calibri"/>
                <w:b/>
                <w:bCs/>
                <w:color w:val="000000"/>
                <w:sz w:val="20"/>
                <w:szCs w:val="20"/>
                <w:lang w:val="es-MX" w:eastAsia="es-MX"/>
              </w:rPr>
            </w:pPr>
          </w:p>
        </w:tc>
        <w:tc>
          <w:tcPr>
            <w:tcW w:w="1711" w:type="dxa"/>
            <w:tcBorders>
              <w:top w:val="nil"/>
              <w:left w:val="nil"/>
              <w:bottom w:val="single" w:sz="4" w:space="0" w:color="auto"/>
              <w:right w:val="nil"/>
            </w:tcBorders>
            <w:vAlign w:val="center"/>
          </w:tcPr>
          <w:p w14:paraId="440E55E0"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Instituto Politécnico Nacional.</w:t>
            </w:r>
          </w:p>
        </w:tc>
        <w:tc>
          <w:tcPr>
            <w:tcW w:w="3392" w:type="dxa"/>
            <w:tcBorders>
              <w:top w:val="nil"/>
              <w:left w:val="nil"/>
              <w:bottom w:val="single" w:sz="4" w:space="0" w:color="auto"/>
              <w:right w:val="nil"/>
            </w:tcBorders>
            <w:vAlign w:val="center"/>
          </w:tcPr>
          <w:p w14:paraId="75014BD6"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Cuenta con líneas de investigación en eficiencia energética, tecnologías limpias y modelado del sector eléctrico, contribuye al desarrollo de nuevas estrategias para la transición energética.</w:t>
            </w:r>
          </w:p>
        </w:tc>
        <w:tc>
          <w:tcPr>
            <w:tcW w:w="2536" w:type="dxa"/>
            <w:tcBorders>
              <w:top w:val="nil"/>
              <w:left w:val="nil"/>
              <w:bottom w:val="single" w:sz="4" w:space="0" w:color="auto"/>
              <w:right w:val="nil"/>
            </w:tcBorders>
            <w:vAlign w:val="center"/>
          </w:tcPr>
          <w:p w14:paraId="4DC74C4C"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Un investigador con publicaciones relevantes en el área de energía, miembro de centros de investigación, y con trayectoria docente en el estudio de políticas y tecnologías energéticas.</w:t>
            </w:r>
          </w:p>
        </w:tc>
      </w:tr>
      <w:tr w:rsidR="00932639" w:rsidRPr="00932639" w14:paraId="48D9B9E2" w14:textId="77777777" w:rsidTr="00761729">
        <w:trPr>
          <w:trHeight w:val="1589"/>
          <w:jc w:val="center"/>
        </w:trPr>
        <w:tc>
          <w:tcPr>
            <w:tcW w:w="1271" w:type="dxa"/>
            <w:tcBorders>
              <w:top w:val="single" w:sz="4" w:space="0" w:color="auto"/>
              <w:left w:val="nil"/>
              <w:bottom w:val="single" w:sz="4" w:space="0" w:color="auto"/>
              <w:right w:val="nil"/>
            </w:tcBorders>
            <w:vAlign w:val="center"/>
          </w:tcPr>
          <w:p w14:paraId="7798FF87"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Industria energética</w:t>
            </w:r>
          </w:p>
          <w:p w14:paraId="438FDDA5" w14:textId="77777777" w:rsidR="00932639" w:rsidRPr="00932639" w:rsidRDefault="00932639" w:rsidP="00932639">
            <w:pPr>
              <w:jc w:val="center"/>
              <w:rPr>
                <w:rFonts w:ascii="Calibri" w:eastAsia="Calibri" w:hAnsi="Calibri" w:cs="Calibri"/>
                <w:b/>
                <w:bCs/>
                <w:color w:val="000000"/>
                <w:sz w:val="20"/>
                <w:szCs w:val="20"/>
                <w:lang w:val="es-MX" w:eastAsia="es-MX"/>
              </w:rPr>
            </w:pPr>
          </w:p>
        </w:tc>
        <w:tc>
          <w:tcPr>
            <w:tcW w:w="1711" w:type="dxa"/>
            <w:tcBorders>
              <w:top w:val="single" w:sz="4" w:space="0" w:color="auto"/>
              <w:left w:val="nil"/>
              <w:bottom w:val="single" w:sz="4" w:space="0" w:color="auto"/>
              <w:right w:val="nil"/>
            </w:tcBorders>
            <w:vAlign w:val="center"/>
          </w:tcPr>
          <w:p w14:paraId="0136E9AC" w14:textId="77777777"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Empresas privadas y analistas independientes.</w:t>
            </w:r>
          </w:p>
        </w:tc>
        <w:tc>
          <w:tcPr>
            <w:tcW w:w="3392" w:type="dxa"/>
            <w:tcBorders>
              <w:top w:val="single" w:sz="4" w:space="0" w:color="auto"/>
              <w:left w:val="nil"/>
              <w:bottom w:val="single" w:sz="4" w:space="0" w:color="auto"/>
              <w:right w:val="nil"/>
            </w:tcBorders>
            <w:vAlign w:val="center"/>
          </w:tcPr>
          <w:p w14:paraId="32AF2016"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Con perspectiva del ámbito público, visión del mercado y de innovación tecnológica en el sector eléctrico.</w:t>
            </w:r>
          </w:p>
        </w:tc>
        <w:tc>
          <w:tcPr>
            <w:tcW w:w="2536" w:type="dxa"/>
            <w:tcBorders>
              <w:top w:val="single" w:sz="4" w:space="0" w:color="auto"/>
              <w:left w:val="nil"/>
              <w:bottom w:val="single" w:sz="4" w:space="0" w:color="auto"/>
              <w:right w:val="nil"/>
            </w:tcBorders>
            <w:vAlign w:val="center"/>
          </w:tcPr>
          <w:p w14:paraId="036EB31B" w14:textId="77777777" w:rsidR="00932639" w:rsidRPr="00932639" w:rsidRDefault="00932639" w:rsidP="00932639">
            <w:pPr>
              <w:rPr>
                <w:rFonts w:ascii="Calibri" w:eastAsia="Calibri" w:hAnsi="Calibri" w:cs="Calibri"/>
                <w:color w:val="000000"/>
                <w:sz w:val="20"/>
                <w:szCs w:val="20"/>
                <w:lang w:val="es-MX" w:eastAsia="es-MX"/>
              </w:rPr>
            </w:pPr>
            <w:r w:rsidRPr="00932639">
              <w:rPr>
                <w:rFonts w:ascii="Calibri" w:eastAsia="Calibri" w:hAnsi="Calibri" w:cs="Calibri"/>
                <w:color w:val="000000"/>
                <w:sz w:val="20"/>
                <w:szCs w:val="20"/>
                <w:lang w:val="es-MX" w:eastAsia="es-MX"/>
              </w:rPr>
              <w:t>Dos especialistas en áreas relacionadas con generación, almacenamiento, eficiencia energética, integración de renovables o política energética, que cuenten con al menos una publicación en revistas científicas, y alguna participación en conferencias.</w:t>
            </w:r>
          </w:p>
        </w:tc>
      </w:tr>
    </w:tbl>
    <w:p w14:paraId="1BFCB81C" w14:textId="77777777" w:rsidR="00465D44" w:rsidRDefault="00465D44" w:rsidP="00932639">
      <w:pPr>
        <w:jc w:val="center"/>
        <w:rPr>
          <w:rFonts w:ascii="Calibri" w:eastAsia="Calibri" w:hAnsi="Calibri" w:cs="Calibri"/>
          <w:b/>
          <w:bCs/>
          <w:color w:val="000000"/>
          <w:sz w:val="20"/>
          <w:szCs w:val="20"/>
          <w:lang w:val="es-MX" w:eastAsia="es-MX"/>
        </w:rPr>
      </w:pPr>
    </w:p>
    <w:p w14:paraId="63BCF598" w14:textId="4B3750B0"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b/>
          <w:bCs/>
          <w:color w:val="000000"/>
          <w:sz w:val="20"/>
          <w:szCs w:val="20"/>
          <w:lang w:val="es-MX" w:eastAsia="es-MX"/>
        </w:rPr>
        <w:t>Fuente:</w:t>
      </w:r>
      <w:r w:rsidRPr="00932639">
        <w:rPr>
          <w:rFonts w:ascii="Calibri" w:eastAsia="Calibri" w:hAnsi="Calibri" w:cs="Calibri"/>
          <w:color w:val="000000"/>
          <w:sz w:val="20"/>
          <w:szCs w:val="20"/>
          <w:lang w:val="es-MX" w:eastAsia="es-MX"/>
        </w:rPr>
        <w:t xml:space="preserve"> </w:t>
      </w:r>
      <w:r w:rsidRPr="00932639">
        <w:rPr>
          <w:rFonts w:ascii="Calibri" w:eastAsia="Calibri" w:hAnsi="Calibri" w:cs="Calibri"/>
          <w:i/>
          <w:iCs/>
          <w:color w:val="000000"/>
          <w:sz w:val="20"/>
          <w:szCs w:val="20"/>
          <w:lang w:val="es-MX" w:eastAsia="es-MX"/>
        </w:rPr>
        <w:t>Elaborad</w:t>
      </w:r>
      <w:r w:rsidR="00465D44">
        <w:rPr>
          <w:rFonts w:ascii="Calibri" w:eastAsia="Calibri" w:hAnsi="Calibri" w:cs="Calibri"/>
          <w:i/>
          <w:iCs/>
          <w:color w:val="000000"/>
          <w:sz w:val="20"/>
          <w:szCs w:val="20"/>
          <w:lang w:val="es-MX" w:eastAsia="es-MX"/>
        </w:rPr>
        <w:t>a</w:t>
      </w:r>
      <w:r w:rsidRPr="00932639">
        <w:rPr>
          <w:rFonts w:ascii="Calibri" w:eastAsia="Calibri" w:hAnsi="Calibri" w:cs="Calibri"/>
          <w:i/>
          <w:iCs/>
          <w:color w:val="000000"/>
          <w:sz w:val="20"/>
          <w:szCs w:val="20"/>
          <w:lang w:val="es-MX" w:eastAsia="es-MX"/>
        </w:rPr>
        <w:t xml:space="preserve"> por el autor.</w:t>
      </w:r>
    </w:p>
    <w:p w14:paraId="6326AC52" w14:textId="77777777" w:rsidR="00932639" w:rsidRPr="00932639" w:rsidRDefault="00932639" w:rsidP="00932639">
      <w:pPr>
        <w:jc w:val="center"/>
        <w:rPr>
          <w:rFonts w:ascii="Calibri" w:eastAsia="Calibri" w:hAnsi="Calibri" w:cs="Calibri"/>
          <w:color w:val="000000"/>
          <w:sz w:val="22"/>
          <w:lang w:val="es-MX" w:eastAsia="es-MX"/>
        </w:rPr>
      </w:pPr>
    </w:p>
    <w:p w14:paraId="5DADB967" w14:textId="77777777" w:rsidR="00932639" w:rsidRPr="00932639" w:rsidRDefault="00000000" w:rsidP="009E605F">
      <w:pPr>
        <w:ind w:left="90"/>
        <w:jc w:val="both"/>
        <w:rPr>
          <w:rFonts w:ascii="Calibri" w:eastAsia="Calibri" w:hAnsi="Calibri" w:cs="Calibri"/>
          <w:color w:val="000000"/>
          <w:sz w:val="22"/>
          <w:lang w:val="es-MX" w:eastAsia="es-MX"/>
        </w:rPr>
      </w:pPr>
      <w:sdt>
        <w:sdtPr>
          <w:rPr>
            <w:rFonts w:ascii="Calibri" w:eastAsia="Century Gothic" w:hAnsi="Calibri" w:cs="Calibri"/>
            <w:color w:val="000000"/>
            <w:sz w:val="22"/>
            <w:lang w:val="es-MX" w:eastAsia="es-MX"/>
          </w:rPr>
          <w:tag w:val="goog_rdk_11"/>
          <w:id w:val="-773072389"/>
        </w:sdtPr>
        <w:sdtContent/>
      </w:sdt>
      <w:r w:rsidR="00932639" w:rsidRPr="00932639">
        <w:rPr>
          <w:rFonts w:ascii="Calibri" w:eastAsia="Calibri" w:hAnsi="Calibri" w:cs="Calibri"/>
          <w:color w:val="000000"/>
          <w:sz w:val="22"/>
          <w:lang w:val="es-MX" w:eastAsia="es-MX"/>
        </w:rPr>
        <w:t>De tal forma que, se definió un total de ocho participantes, a través de un conjunto de criterios, aun considerando que cada sector al que pertenecen tiene sus particularidades, se pueden resumir en: experiencia comprobable en el sector energético, conocimiento especializado, ya sea desde la investigación académica, la gestión pública o el ejercicio profesional en la industria y vinculación directa con políticas, tecnologías o procesos operativos en el ámbito energético. En este contexto, se identificaron instituciones y organismos estratégicos que desempeñan un papel clave en la planificación, regulación y operación del sistema eléctrico en México. Estas entidades se agrupan en tres sectores: Público, Ámbito académico e Industria energética.</w:t>
      </w:r>
    </w:p>
    <w:p w14:paraId="6CAE88AB" w14:textId="77777777" w:rsidR="00932639" w:rsidRPr="00932639" w:rsidRDefault="00932639" w:rsidP="009E605F">
      <w:pPr>
        <w:ind w:left="90"/>
        <w:jc w:val="both"/>
        <w:rPr>
          <w:rFonts w:ascii="Calibri" w:eastAsia="Calibri" w:hAnsi="Calibri" w:cs="Calibri"/>
          <w:color w:val="000000"/>
          <w:sz w:val="22"/>
          <w:lang w:val="es-MX" w:eastAsia="es-MX"/>
        </w:rPr>
      </w:pPr>
    </w:p>
    <w:p w14:paraId="7EBE09AB" w14:textId="77777777" w:rsidR="00932639" w:rsidRPr="00932639" w:rsidRDefault="00932639" w:rsidP="009E605F">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El guion de entrevista consistió en diez preguntas exploratorias, abiertas y confirmatorias, organizadas dentro de las categorías descritas previamente. Asimismo, se integró una invitación a compartir una reflexión, además de la oportunidad de mencionar algún tema que consideran relevante y que no hubiese sido abordado en las preguntas iniciales. Las entrevistas se llevaron a cabo de manera individual, en modalidad presencial o virtual. La matriz de análisis se construyó de tal manera que se permitiera identificar patrones, relaciones y categorías dentro de los datos (</w:t>
      </w:r>
      <w:proofErr w:type="spellStart"/>
      <w:r w:rsidRPr="00932639">
        <w:rPr>
          <w:rFonts w:ascii="Calibri" w:eastAsia="Calibri" w:hAnsi="Calibri" w:cs="Calibri"/>
          <w:color w:val="000000"/>
          <w:sz w:val="22"/>
          <w:lang w:val="es-MX" w:eastAsia="es-MX"/>
        </w:rPr>
        <w:t>Finol</w:t>
      </w:r>
      <w:proofErr w:type="spellEnd"/>
      <w:r w:rsidRPr="00932639">
        <w:rPr>
          <w:rFonts w:ascii="Calibri" w:eastAsia="Calibri" w:hAnsi="Calibri" w:cs="Calibri"/>
          <w:color w:val="000000"/>
          <w:sz w:val="22"/>
          <w:lang w:val="es-MX" w:eastAsia="es-MX"/>
        </w:rPr>
        <w:t xml:space="preserve"> y Arrieta, 2021). En la </w:t>
      </w:r>
      <w:r w:rsidRPr="00932639">
        <w:rPr>
          <w:rFonts w:ascii="Calibri" w:eastAsia="Calibri" w:hAnsi="Calibri" w:cs="Calibri"/>
          <w:i/>
          <w:iCs/>
          <w:color w:val="000000"/>
          <w:sz w:val="22"/>
          <w:lang w:val="es-MX" w:eastAsia="es-MX"/>
        </w:rPr>
        <w:t>figura 1</w:t>
      </w:r>
      <w:r w:rsidRPr="00932639">
        <w:rPr>
          <w:rFonts w:ascii="Calibri" w:eastAsia="Calibri" w:hAnsi="Calibri" w:cs="Calibri"/>
          <w:color w:val="000000"/>
          <w:sz w:val="22"/>
          <w:lang w:val="es-MX" w:eastAsia="es-MX"/>
        </w:rPr>
        <w:t>, se ilustra la estructura de dicha matriz.</w:t>
      </w:r>
    </w:p>
    <w:p w14:paraId="5B85E792" w14:textId="77777777" w:rsidR="00932639" w:rsidRPr="00932639" w:rsidRDefault="00932639" w:rsidP="00932639">
      <w:pPr>
        <w:jc w:val="both"/>
        <w:rPr>
          <w:rFonts w:ascii="Calibri" w:eastAsia="Calibri" w:hAnsi="Calibri" w:cs="Calibri"/>
          <w:color w:val="000000"/>
          <w:sz w:val="24"/>
          <w:szCs w:val="24"/>
          <w:lang w:val="es-MX" w:eastAsia="es-MX"/>
        </w:rPr>
      </w:pPr>
    </w:p>
    <w:p w14:paraId="3B11AF05" w14:textId="77777777" w:rsidR="00932639" w:rsidRPr="00465D44" w:rsidRDefault="00000000" w:rsidP="00932639">
      <w:pPr>
        <w:jc w:val="center"/>
        <w:rPr>
          <w:rFonts w:ascii="Calibri" w:eastAsia="Calibri" w:hAnsi="Calibri" w:cs="Calibri"/>
          <w:i/>
          <w:iCs/>
          <w:color w:val="000000"/>
          <w:sz w:val="20"/>
          <w:szCs w:val="20"/>
          <w:lang w:val="es-MX" w:eastAsia="es-MX"/>
        </w:rPr>
      </w:pPr>
      <w:sdt>
        <w:sdtPr>
          <w:rPr>
            <w:rFonts w:ascii="Calibri" w:eastAsia="Century Gothic" w:hAnsi="Calibri" w:cs="Calibri"/>
            <w:color w:val="000000"/>
            <w:sz w:val="24"/>
            <w:szCs w:val="24"/>
            <w:lang w:val="es-MX" w:eastAsia="es-MX"/>
          </w:rPr>
          <w:tag w:val="goog_rdk_12"/>
          <w:id w:val="1084000686"/>
        </w:sdtPr>
        <w:sdtContent/>
      </w:sdt>
      <w:sdt>
        <w:sdtPr>
          <w:rPr>
            <w:rFonts w:ascii="Calibri" w:eastAsia="Century Gothic" w:hAnsi="Calibri" w:cs="Calibri"/>
            <w:color w:val="000000"/>
            <w:sz w:val="24"/>
            <w:szCs w:val="24"/>
            <w:lang w:val="es-MX" w:eastAsia="es-MX"/>
          </w:rPr>
          <w:tag w:val="goog_rdk_13"/>
          <w:id w:val="1596155698"/>
        </w:sdtPr>
        <w:sdtContent/>
      </w:sdt>
      <w:sdt>
        <w:sdtPr>
          <w:rPr>
            <w:rFonts w:ascii="Calibri" w:eastAsia="Century Gothic" w:hAnsi="Calibri" w:cs="Calibri"/>
            <w:color w:val="000000"/>
            <w:sz w:val="24"/>
            <w:szCs w:val="24"/>
            <w:lang w:val="es-MX" w:eastAsia="es-MX"/>
          </w:rPr>
          <w:tag w:val="goog_rdk_14"/>
          <w:id w:val="713192378"/>
        </w:sdtPr>
        <w:sdtContent/>
      </w:sdt>
      <w:r w:rsidR="00932639" w:rsidRPr="00932639">
        <w:rPr>
          <w:rFonts w:ascii="Calibri" w:eastAsia="Calibri" w:hAnsi="Calibri" w:cs="Calibri"/>
          <w:b/>
          <w:bCs/>
          <w:color w:val="000000"/>
          <w:sz w:val="20"/>
          <w:szCs w:val="20"/>
          <w:lang w:val="es-MX" w:eastAsia="es-MX"/>
        </w:rPr>
        <w:t xml:space="preserve">Figura 1. </w:t>
      </w:r>
      <w:r w:rsidR="00932639" w:rsidRPr="00932639">
        <w:rPr>
          <w:rFonts w:ascii="Calibri" w:eastAsia="Calibri" w:hAnsi="Calibri" w:cs="Calibri"/>
          <w:i/>
          <w:iCs/>
          <w:color w:val="000000"/>
          <w:sz w:val="20"/>
          <w:szCs w:val="20"/>
          <w:lang w:val="es-MX" w:eastAsia="es-MX"/>
        </w:rPr>
        <w:t>Estructura de la matriz de a</w:t>
      </w:r>
      <w:sdt>
        <w:sdtPr>
          <w:rPr>
            <w:rFonts w:ascii="Calibri" w:eastAsia="Century Gothic" w:hAnsi="Calibri" w:cs="Calibri"/>
            <w:color w:val="000000"/>
            <w:sz w:val="20"/>
            <w:szCs w:val="20"/>
            <w:lang w:val="es-MX" w:eastAsia="es-MX"/>
          </w:rPr>
          <w:tag w:val="goog_rdk_17"/>
          <w:id w:val="1037647440"/>
        </w:sdtPr>
        <w:sdtContent/>
      </w:sdt>
      <w:sdt>
        <w:sdtPr>
          <w:rPr>
            <w:rFonts w:ascii="Calibri" w:eastAsia="Century Gothic" w:hAnsi="Calibri" w:cs="Calibri"/>
            <w:color w:val="000000"/>
            <w:sz w:val="20"/>
            <w:szCs w:val="20"/>
            <w:lang w:val="es-MX" w:eastAsia="es-MX"/>
          </w:rPr>
          <w:tag w:val="goog_rdk_18"/>
          <w:id w:val="1684332936"/>
        </w:sdtPr>
        <w:sdtContent/>
      </w:sdt>
      <w:sdt>
        <w:sdtPr>
          <w:rPr>
            <w:rFonts w:ascii="Calibri" w:eastAsia="Century Gothic" w:hAnsi="Calibri" w:cs="Calibri"/>
            <w:color w:val="000000"/>
            <w:sz w:val="20"/>
            <w:szCs w:val="20"/>
            <w:lang w:val="es-MX" w:eastAsia="es-MX"/>
          </w:rPr>
          <w:tag w:val="goog_rdk_19"/>
          <w:id w:val="445726579"/>
        </w:sdtPr>
        <w:sdtContent/>
      </w:sdt>
      <w:r w:rsidR="00932639" w:rsidRPr="00932639">
        <w:rPr>
          <w:rFonts w:ascii="Calibri" w:eastAsia="Calibri" w:hAnsi="Calibri" w:cs="Calibri"/>
          <w:i/>
          <w:iCs/>
          <w:color w:val="000000"/>
          <w:sz w:val="20"/>
          <w:szCs w:val="20"/>
          <w:lang w:val="es-MX" w:eastAsia="es-MX"/>
        </w:rPr>
        <w:t>nálisis.</w:t>
      </w:r>
    </w:p>
    <w:p w14:paraId="5E921225" w14:textId="77777777" w:rsidR="00465D44" w:rsidRPr="00932639" w:rsidRDefault="00465D44" w:rsidP="00932639">
      <w:pPr>
        <w:jc w:val="center"/>
        <w:rPr>
          <w:rFonts w:ascii="Calibri" w:eastAsia="Calibri" w:hAnsi="Calibri" w:cs="Calibri"/>
          <w:i/>
          <w:iCs/>
          <w:color w:val="000000"/>
          <w:sz w:val="24"/>
          <w:szCs w:val="24"/>
          <w:lang w:val="es-MX" w:eastAsia="es-MX"/>
        </w:rPr>
      </w:pPr>
    </w:p>
    <w:p w14:paraId="30742AA2" w14:textId="77777777" w:rsidR="00932639" w:rsidRPr="00932639" w:rsidRDefault="00932639" w:rsidP="00932639">
      <w:pPr>
        <w:jc w:val="center"/>
        <w:rPr>
          <w:rFonts w:ascii="Calibri" w:eastAsia="Calibri" w:hAnsi="Calibri" w:cs="Calibri"/>
          <w:color w:val="000000"/>
          <w:sz w:val="24"/>
          <w:szCs w:val="24"/>
          <w:lang w:val="es-MX" w:eastAsia="es-MX"/>
        </w:rPr>
      </w:pPr>
      <w:r w:rsidRPr="00932639">
        <w:rPr>
          <w:rFonts w:ascii="Calibri" w:eastAsia="Calibri" w:hAnsi="Calibri" w:cs="Calibri"/>
          <w:noProof/>
          <w:color w:val="000000"/>
          <w:sz w:val="24"/>
          <w:szCs w:val="24"/>
          <w:lang w:val="es-MX" w:eastAsia="es-MX"/>
        </w:rPr>
        <w:drawing>
          <wp:inline distT="114300" distB="114300" distL="114300" distR="114300" wp14:anchorId="0BDA2101" wp14:editId="4A30E35A">
            <wp:extent cx="5503984" cy="3675185"/>
            <wp:effectExtent l="0" t="0" r="1905" b="1905"/>
            <wp:docPr id="18877366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5526421" cy="3690167"/>
                    </a:xfrm>
                    <a:prstGeom prst="rect">
                      <a:avLst/>
                    </a:prstGeom>
                    <a:ln/>
                  </pic:spPr>
                </pic:pic>
              </a:graphicData>
            </a:graphic>
          </wp:inline>
        </w:drawing>
      </w:r>
    </w:p>
    <w:p w14:paraId="1247606D" w14:textId="77777777" w:rsidR="00465D44" w:rsidRDefault="00465D44" w:rsidP="00932639">
      <w:pPr>
        <w:jc w:val="center"/>
        <w:rPr>
          <w:rFonts w:ascii="Calibri" w:eastAsia="Calibri" w:hAnsi="Calibri" w:cs="Calibri"/>
          <w:b/>
          <w:bCs/>
          <w:color w:val="000000"/>
          <w:sz w:val="24"/>
          <w:szCs w:val="24"/>
          <w:lang w:val="es-MX" w:eastAsia="es-MX"/>
        </w:rPr>
      </w:pPr>
    </w:p>
    <w:p w14:paraId="73945E31" w14:textId="3786D98F" w:rsidR="00932639" w:rsidRPr="00932639" w:rsidRDefault="00932639" w:rsidP="00932639">
      <w:pPr>
        <w:jc w:val="center"/>
        <w:rPr>
          <w:rFonts w:ascii="Calibri" w:eastAsia="Calibri" w:hAnsi="Calibri" w:cs="Calibri"/>
          <w:color w:val="000000"/>
          <w:sz w:val="20"/>
          <w:szCs w:val="20"/>
          <w:lang w:val="es-MX" w:eastAsia="es-MX"/>
        </w:rPr>
      </w:pPr>
      <w:r w:rsidRPr="00932639">
        <w:rPr>
          <w:rFonts w:ascii="Calibri" w:eastAsia="Calibri" w:hAnsi="Calibri" w:cs="Calibri"/>
          <w:b/>
          <w:bCs/>
          <w:color w:val="000000"/>
          <w:sz w:val="20"/>
          <w:szCs w:val="20"/>
          <w:lang w:val="es-MX" w:eastAsia="es-MX"/>
        </w:rPr>
        <w:t>Fuente:</w:t>
      </w:r>
      <w:r w:rsidRPr="00932639">
        <w:rPr>
          <w:rFonts w:ascii="Calibri" w:eastAsia="Calibri" w:hAnsi="Calibri" w:cs="Calibri"/>
          <w:color w:val="000000"/>
          <w:sz w:val="20"/>
          <w:szCs w:val="20"/>
          <w:lang w:val="es-MX" w:eastAsia="es-MX"/>
        </w:rPr>
        <w:t xml:space="preserve"> </w:t>
      </w:r>
      <w:r w:rsidRPr="00932639">
        <w:rPr>
          <w:rFonts w:ascii="Calibri" w:eastAsia="Calibri" w:hAnsi="Calibri" w:cs="Calibri"/>
          <w:i/>
          <w:iCs/>
          <w:color w:val="000000"/>
          <w:sz w:val="20"/>
          <w:szCs w:val="20"/>
          <w:lang w:val="es-MX" w:eastAsia="es-MX"/>
        </w:rPr>
        <w:t>Elaborad</w:t>
      </w:r>
      <w:r w:rsidR="00465D44">
        <w:rPr>
          <w:rFonts w:ascii="Calibri" w:eastAsia="Calibri" w:hAnsi="Calibri" w:cs="Calibri"/>
          <w:i/>
          <w:iCs/>
          <w:color w:val="000000"/>
          <w:sz w:val="20"/>
          <w:szCs w:val="20"/>
          <w:lang w:val="es-MX" w:eastAsia="es-MX"/>
        </w:rPr>
        <w:t>a</w:t>
      </w:r>
      <w:r w:rsidRPr="00932639">
        <w:rPr>
          <w:rFonts w:ascii="Calibri" w:eastAsia="Calibri" w:hAnsi="Calibri" w:cs="Calibri"/>
          <w:i/>
          <w:iCs/>
          <w:color w:val="000000"/>
          <w:sz w:val="20"/>
          <w:szCs w:val="20"/>
          <w:lang w:val="es-MX" w:eastAsia="es-MX"/>
        </w:rPr>
        <w:t xml:space="preserve"> por los autores.</w:t>
      </w:r>
    </w:p>
    <w:p w14:paraId="1DEE79BC" w14:textId="77777777" w:rsidR="00932639" w:rsidRPr="00932639" w:rsidRDefault="00932639" w:rsidP="00932639">
      <w:pPr>
        <w:rPr>
          <w:rFonts w:ascii="Calibri" w:eastAsia="Calibri" w:hAnsi="Calibri" w:cs="Calibri"/>
          <w:color w:val="000000"/>
          <w:sz w:val="22"/>
          <w:lang w:val="es-MX" w:eastAsia="es-MX"/>
        </w:rPr>
      </w:pPr>
    </w:p>
    <w:p w14:paraId="60C0E58E" w14:textId="19051CAA" w:rsidR="00932639" w:rsidRPr="00932639" w:rsidRDefault="00465D44" w:rsidP="009E605F">
      <w:pPr>
        <w:ind w:left="90"/>
        <w:jc w:val="both"/>
        <w:rPr>
          <w:rFonts w:ascii="Calibri" w:eastAsia="Calibri" w:hAnsi="Calibri" w:cs="Calibri"/>
          <w:b/>
          <w:bCs/>
          <w:color w:val="000000"/>
          <w:sz w:val="22"/>
          <w:lang w:val="es-MX" w:eastAsia="es-MX"/>
        </w:rPr>
      </w:pPr>
      <w:r w:rsidRPr="00932639">
        <w:rPr>
          <w:rFonts w:ascii="Calibri" w:eastAsia="Calibri" w:hAnsi="Calibri" w:cs="Calibri"/>
          <w:b/>
          <w:bCs/>
          <w:color w:val="000000"/>
          <w:sz w:val="22"/>
          <w:lang w:val="es-MX" w:eastAsia="es-MX"/>
        </w:rPr>
        <w:t>Procesos de codificación y análisis de datos</w:t>
      </w:r>
    </w:p>
    <w:p w14:paraId="633364A1" w14:textId="77777777" w:rsidR="00932639" w:rsidRPr="00932639" w:rsidRDefault="00932639" w:rsidP="009E605F">
      <w:pPr>
        <w:ind w:left="90"/>
        <w:jc w:val="both"/>
        <w:rPr>
          <w:rFonts w:ascii="Calibri" w:eastAsia="Calibri" w:hAnsi="Calibri" w:cs="Calibri"/>
          <w:b/>
          <w:bCs/>
          <w:color w:val="000000"/>
          <w:sz w:val="22"/>
          <w:lang w:val="es-MX" w:eastAsia="es-MX"/>
        </w:rPr>
      </w:pPr>
    </w:p>
    <w:p w14:paraId="45A871D8" w14:textId="77777777" w:rsidR="00932639" w:rsidRPr="00932639" w:rsidRDefault="00932639" w:rsidP="009E605F">
      <w:pPr>
        <w:ind w:left="90"/>
        <w:jc w:val="both"/>
        <w:rPr>
          <w:rFonts w:ascii="Calibri" w:eastAsia="Calibri" w:hAnsi="Calibri" w:cs="Calibri"/>
          <w:color w:val="000000"/>
          <w:sz w:val="22"/>
          <w:lang w:val="es-MX" w:eastAsia="es-MX"/>
        </w:rPr>
      </w:pPr>
      <w:r w:rsidRPr="00932639">
        <w:rPr>
          <w:rFonts w:ascii="Calibri" w:eastAsia="Calibri" w:hAnsi="Calibri" w:cs="Calibri"/>
          <w:color w:val="000000"/>
          <w:sz w:val="22"/>
          <w:lang w:val="es-MX" w:eastAsia="es-MX"/>
        </w:rPr>
        <w:t xml:space="preserve">El análisis de datos se llevó a cabo utilizando el software </w:t>
      </w:r>
      <w:proofErr w:type="spellStart"/>
      <w:r w:rsidRPr="00932639">
        <w:rPr>
          <w:rFonts w:ascii="Calibri" w:eastAsia="Calibri" w:hAnsi="Calibri" w:cs="Calibri"/>
          <w:i/>
          <w:iCs/>
          <w:color w:val="000000"/>
          <w:sz w:val="22"/>
          <w:lang w:val="es-MX" w:eastAsia="es-MX"/>
        </w:rPr>
        <w:t>Atlas.ti</w:t>
      </w:r>
      <w:proofErr w:type="spellEnd"/>
      <w:r w:rsidRPr="00932639">
        <w:rPr>
          <w:rFonts w:ascii="Calibri" w:eastAsia="Calibri" w:hAnsi="Calibri" w:cs="Calibri"/>
          <w:color w:val="000000"/>
          <w:sz w:val="22"/>
          <w:lang w:val="es-MX" w:eastAsia="es-MX"/>
        </w:rPr>
        <w:t>, versión 2025. Este programa ha sido adoptado por numerosas universidades porque permite estructurar el proceso de manera rigurosa, a partir de los datos recolectados (Casanova y Rabasco, s.f.). Con esta herramienta se codificaron las frases clave y se categorizaron de acuerdo con las unidades de estudio. Posteriormente, se construyeron redes de relaciones entre los códigos para identificar patrones y conexiones entre los distintos temas. Posteriormente, se procedió a la triangulación de datos, entre el análisis de la información proveniente de las entrevistas y la de la matriz de análisis documental, proceso en el cual se reconocieron las coincidencias, divergencias y vacíos informativos.</w:t>
      </w:r>
    </w:p>
    <w:p w14:paraId="6A2440E2" w14:textId="77777777" w:rsidR="00932639" w:rsidRPr="00932639" w:rsidRDefault="00932639" w:rsidP="00932639">
      <w:pPr>
        <w:jc w:val="both"/>
        <w:rPr>
          <w:rFonts w:ascii="Calibri" w:eastAsia="Calibri" w:hAnsi="Calibri" w:cs="Calibri"/>
          <w:color w:val="000000"/>
          <w:sz w:val="22"/>
          <w:lang w:val="es-MX" w:eastAsia="es-MX"/>
        </w:rPr>
      </w:pPr>
    </w:p>
    <w:p w14:paraId="261F0953" w14:textId="77777777" w:rsidR="00F70C8E" w:rsidRDefault="006B6C04" w:rsidP="00F70C8E">
      <w:pPr>
        <w:spacing w:before="100" w:beforeAutospacing="1" w:after="100" w:afterAutospacing="1"/>
        <w:ind w:left="90"/>
        <w:jc w:val="both"/>
        <w:rPr>
          <w:rFonts w:ascii="Calibri" w:eastAsia="Meiryo" w:hAnsi="Calibri" w:cs="Calibri"/>
          <w:b/>
          <w:sz w:val="22"/>
          <w:lang w:val="es-CO"/>
        </w:rPr>
      </w:pPr>
      <w:r w:rsidRPr="00FD6729">
        <w:rPr>
          <w:rFonts w:ascii="Calibri" w:eastAsia="Meiryo" w:hAnsi="Calibri" w:cs="Calibri"/>
          <w:b/>
          <w:sz w:val="22"/>
          <w:lang w:val="es-CO"/>
        </w:rPr>
        <w:t>RESULTADOS</w:t>
      </w:r>
    </w:p>
    <w:p w14:paraId="0D592F0F" w14:textId="77777777"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 xml:space="preserve">Para cada entrevistado se realizó un resumen interpretativo acompañado de un diagrama, el cual ilustra gráficamente las interacciones conceptuales emergidas de sus respuestas, en la </w:t>
      </w:r>
      <w:r w:rsidRPr="009E605F">
        <w:rPr>
          <w:rFonts w:ascii="Calibri" w:eastAsia="Calibri" w:hAnsi="Calibri" w:cs="Calibri"/>
          <w:i/>
          <w:iCs/>
          <w:color w:val="000000"/>
          <w:sz w:val="22"/>
          <w:lang w:val="es-MX" w:eastAsia="es-MX"/>
        </w:rPr>
        <w:t>figura 2</w:t>
      </w:r>
      <w:r w:rsidRPr="009E605F">
        <w:rPr>
          <w:rFonts w:ascii="Calibri" w:eastAsia="Calibri" w:hAnsi="Calibri" w:cs="Calibri"/>
          <w:color w:val="000000"/>
          <w:sz w:val="22"/>
          <w:lang w:val="es-MX" w:eastAsia="es-MX"/>
        </w:rPr>
        <w:t xml:space="preserve"> se ejemplifica el proceso que se realizó para cada persona entrevistada.</w:t>
      </w:r>
      <w:r w:rsidRPr="009E605F">
        <w:rPr>
          <w:rFonts w:ascii="Calibri" w:eastAsia="Arial" w:hAnsi="Calibri" w:cs="Calibri"/>
          <w:color w:val="000000"/>
          <w:sz w:val="22"/>
          <w:lang w:val="es-MX" w:eastAsia="es-MX"/>
        </w:rPr>
        <w:t xml:space="preserve"> </w:t>
      </w:r>
      <w:r w:rsidRPr="009E605F">
        <w:rPr>
          <w:rFonts w:ascii="Calibri" w:eastAsia="Calibri" w:hAnsi="Calibri" w:cs="Calibri"/>
          <w:color w:val="000000"/>
          <w:sz w:val="22"/>
          <w:lang w:val="es-MX" w:eastAsia="es-MX"/>
        </w:rPr>
        <w:t>Es posible apreciar que en la categoría de política y regulación energética se identificaron como temas centrales mercado eléctrico, ideología, soberanía y autosuficiencia. Esta categoría se conecta directamente con la evaluación de prospectivas energéticas y ejerce influencia tanto en la competitividad como en el avance tecnológico del sector. En avances tecnológicos en confiabilidad del SEN sobresale la incorporación de nuevas tecnologías y el fortalecimiento de la confiabilidad del sistema eléctrico.</w:t>
      </w:r>
    </w:p>
    <w:p w14:paraId="316F15F6" w14:textId="77777777" w:rsidR="009E605F" w:rsidRPr="009E605F" w:rsidRDefault="009E605F" w:rsidP="009E605F">
      <w:pPr>
        <w:ind w:left="90"/>
        <w:jc w:val="both"/>
        <w:rPr>
          <w:rFonts w:ascii="Calibri" w:eastAsia="Calibri" w:hAnsi="Calibri" w:cs="Calibri"/>
          <w:color w:val="000000"/>
          <w:sz w:val="22"/>
          <w:lang w:val="es-MX" w:eastAsia="es-MX"/>
        </w:rPr>
      </w:pPr>
    </w:p>
    <w:p w14:paraId="0DAA4B19" w14:textId="77777777" w:rsidR="009E605F" w:rsidRPr="009E605F" w:rsidRDefault="009E605F" w:rsidP="009E605F">
      <w:pPr>
        <w:ind w:left="90"/>
        <w:jc w:val="center"/>
        <w:rPr>
          <w:rFonts w:ascii="Calibri" w:eastAsia="Calibri" w:hAnsi="Calibri" w:cs="Calibri"/>
          <w:i/>
          <w:iCs/>
          <w:color w:val="000000"/>
          <w:sz w:val="20"/>
          <w:szCs w:val="20"/>
          <w:lang w:val="es-MX" w:eastAsia="es-MX"/>
        </w:rPr>
      </w:pPr>
      <w:r w:rsidRPr="009E605F">
        <w:rPr>
          <w:rFonts w:ascii="Calibri" w:eastAsia="Calibri" w:hAnsi="Calibri" w:cs="Calibri"/>
          <w:b/>
          <w:bCs/>
          <w:color w:val="000000"/>
          <w:sz w:val="20"/>
          <w:szCs w:val="20"/>
          <w:lang w:val="es-MX" w:eastAsia="es-MX"/>
        </w:rPr>
        <w:t xml:space="preserve">Figura 2. </w:t>
      </w:r>
      <w:r w:rsidRPr="009E605F">
        <w:rPr>
          <w:rFonts w:ascii="Calibri" w:eastAsia="Calibri" w:hAnsi="Calibri" w:cs="Calibri"/>
          <w:i/>
          <w:iCs/>
          <w:color w:val="000000"/>
          <w:sz w:val="20"/>
          <w:szCs w:val="20"/>
          <w:lang w:val="es-MX" w:eastAsia="es-MX"/>
        </w:rPr>
        <w:t>Diagrama de los hallazgos emitidos por el participante 1.</w:t>
      </w:r>
    </w:p>
    <w:p w14:paraId="590FB18E" w14:textId="77777777" w:rsidR="009E605F" w:rsidRPr="009E605F" w:rsidRDefault="009E605F" w:rsidP="009E605F">
      <w:pPr>
        <w:ind w:left="90"/>
        <w:jc w:val="center"/>
        <w:rPr>
          <w:rFonts w:ascii="Calibri" w:eastAsia="Calibri" w:hAnsi="Calibri" w:cs="Calibri"/>
          <w:i/>
          <w:iCs/>
          <w:color w:val="000000"/>
          <w:sz w:val="22"/>
          <w:lang w:val="es-MX" w:eastAsia="es-MX"/>
        </w:rPr>
      </w:pPr>
    </w:p>
    <w:p w14:paraId="4A1B8C9F" w14:textId="77777777" w:rsidR="009E605F" w:rsidRPr="009E605F" w:rsidRDefault="009E605F" w:rsidP="009E605F">
      <w:pPr>
        <w:ind w:left="90"/>
        <w:jc w:val="center"/>
        <w:rPr>
          <w:rFonts w:ascii="Calibri" w:eastAsia="Calibri" w:hAnsi="Calibri" w:cs="Calibri"/>
          <w:i/>
          <w:iCs/>
          <w:color w:val="000000"/>
          <w:sz w:val="22"/>
          <w:lang w:val="es-MX" w:eastAsia="es-MX"/>
        </w:rPr>
      </w:pPr>
      <w:r w:rsidRPr="009E605F">
        <w:rPr>
          <w:rFonts w:ascii="Calibri" w:eastAsia="Calibri" w:hAnsi="Calibri" w:cs="Calibri"/>
          <w:i/>
          <w:iCs/>
          <w:noProof/>
          <w:color w:val="000000"/>
          <w:sz w:val="22"/>
          <w:lang w:val="es-MX" w:eastAsia="es-MX"/>
        </w:rPr>
        <w:drawing>
          <wp:inline distT="0" distB="0" distL="0" distR="0" wp14:anchorId="020E3E05" wp14:editId="59BE3FB2">
            <wp:extent cx="5656006" cy="2956498"/>
            <wp:effectExtent l="0" t="0" r="1905" b="0"/>
            <wp:docPr id="1424984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4029" name=""/>
                    <pic:cNvPicPr/>
                  </pic:nvPicPr>
                  <pic:blipFill>
                    <a:blip r:embed="rId15"/>
                    <a:stretch>
                      <a:fillRect/>
                    </a:stretch>
                  </pic:blipFill>
                  <pic:spPr>
                    <a:xfrm>
                      <a:off x="0" y="0"/>
                      <a:ext cx="5670393" cy="2964018"/>
                    </a:xfrm>
                    <a:prstGeom prst="rect">
                      <a:avLst/>
                    </a:prstGeom>
                  </pic:spPr>
                </pic:pic>
              </a:graphicData>
            </a:graphic>
          </wp:inline>
        </w:drawing>
      </w:r>
    </w:p>
    <w:p w14:paraId="442DD56C" w14:textId="77777777" w:rsidR="009E605F" w:rsidRDefault="009E605F" w:rsidP="009E605F">
      <w:pPr>
        <w:ind w:left="90"/>
        <w:jc w:val="center"/>
        <w:rPr>
          <w:rFonts w:ascii="Calibri" w:eastAsia="Calibri" w:hAnsi="Calibri" w:cs="Calibri"/>
          <w:b/>
          <w:bCs/>
          <w:i/>
          <w:iCs/>
          <w:color w:val="000000"/>
          <w:sz w:val="22"/>
          <w:lang w:val="es-MX" w:eastAsia="es-MX"/>
        </w:rPr>
      </w:pPr>
    </w:p>
    <w:p w14:paraId="1DEE8927" w14:textId="729E7650" w:rsidR="009E605F" w:rsidRPr="009E605F" w:rsidRDefault="009E605F" w:rsidP="009E605F">
      <w:pPr>
        <w:ind w:left="90"/>
        <w:jc w:val="center"/>
        <w:rPr>
          <w:rFonts w:ascii="Calibri" w:eastAsia="Calibri" w:hAnsi="Calibri" w:cs="Calibri"/>
          <w:i/>
          <w:iCs/>
          <w:color w:val="000000"/>
          <w:sz w:val="20"/>
          <w:szCs w:val="20"/>
          <w:lang w:val="es-MX" w:eastAsia="es-MX"/>
        </w:rPr>
      </w:pPr>
      <w:r w:rsidRPr="009E605F">
        <w:rPr>
          <w:rFonts w:ascii="Calibri" w:eastAsia="Calibri" w:hAnsi="Calibri" w:cs="Calibri"/>
          <w:b/>
          <w:bCs/>
          <w:i/>
          <w:iCs/>
          <w:color w:val="000000"/>
          <w:sz w:val="20"/>
          <w:szCs w:val="20"/>
          <w:lang w:val="es-MX" w:eastAsia="es-MX"/>
        </w:rPr>
        <w:t>Fuente:</w:t>
      </w:r>
      <w:r w:rsidRPr="009E605F">
        <w:rPr>
          <w:rFonts w:ascii="Calibri" w:eastAsia="Calibri" w:hAnsi="Calibri" w:cs="Calibri"/>
          <w:i/>
          <w:iCs/>
          <w:color w:val="000000"/>
          <w:sz w:val="20"/>
          <w:szCs w:val="20"/>
          <w:lang w:val="es-MX" w:eastAsia="es-MX"/>
        </w:rPr>
        <w:t xml:space="preserve"> Elaborado por los autores.</w:t>
      </w:r>
    </w:p>
    <w:p w14:paraId="63106B64" w14:textId="77777777" w:rsidR="009E605F" w:rsidRPr="009E605F" w:rsidRDefault="009E605F" w:rsidP="009E605F">
      <w:pPr>
        <w:ind w:left="90"/>
        <w:jc w:val="center"/>
        <w:rPr>
          <w:rFonts w:ascii="Calibri" w:eastAsia="Calibri" w:hAnsi="Calibri" w:cs="Calibri"/>
          <w:i/>
          <w:iCs/>
          <w:color w:val="000000"/>
          <w:sz w:val="22"/>
          <w:lang w:val="es-MX" w:eastAsia="es-MX"/>
        </w:rPr>
      </w:pPr>
    </w:p>
    <w:p w14:paraId="07F4CD73" w14:textId="77777777"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 xml:space="preserve">La </w:t>
      </w:r>
      <w:r w:rsidRPr="009E605F">
        <w:rPr>
          <w:rFonts w:ascii="Calibri" w:eastAsia="Calibri" w:hAnsi="Calibri" w:cs="Calibri"/>
          <w:i/>
          <w:iCs/>
          <w:color w:val="000000"/>
          <w:sz w:val="22"/>
          <w:lang w:val="es-MX" w:eastAsia="es-MX"/>
        </w:rPr>
        <w:t xml:space="preserve">disponibilidad de recursos naturales y autosuficiencia </w:t>
      </w:r>
      <w:r w:rsidRPr="009E605F">
        <w:rPr>
          <w:rFonts w:ascii="Calibri" w:eastAsia="Calibri" w:hAnsi="Calibri" w:cs="Calibri"/>
          <w:color w:val="000000"/>
          <w:sz w:val="22"/>
          <w:lang w:val="es-MX" w:eastAsia="es-MX"/>
        </w:rPr>
        <w:t>incluye el potencial del país en energía solar y eólica. Este eje, es uno de los más conectados, también guarda relación estrecha con los procesos de transición energética. En cuanto a competitividad y transición energética, se abordaron temas relacionados con los costos de generación, la confiabilidad del sistema y la necesidad de realizar estudios prospectivos de largo plazo. La evaluación de prospectivas energéticas enfatiza la importancia de llevar a cabo estudios de largo horizonte que incorporan proyecciones flexibles, capaces de adaptarse a escenarios de incertidumbre tecnológica. En los resultados integrales sobre la categoría Política y regulación energética, los participantes coincidieron en que la falta de una planeación energética vinculante ha limitado históricamente la coordinación interinstitucional y la inversión estratégica en infraestructura. Se identificó que, durante años, las decisiones regulatorias respondieron a ciclos políticos más que a criterios técnicos de expansión y confiabilidad. Como ejemplo, uno de los entrevistados señaló que la estricta separación de funciones entre la Comisión Federal de Electricidad y otras entidades derivó en “esfuerzos descoordinados” y “proyectos aislados que no responden a una estrategia nacional”.</w:t>
      </w:r>
    </w:p>
    <w:p w14:paraId="557A5A64" w14:textId="77777777" w:rsidR="009E605F" w:rsidRPr="009E605F" w:rsidRDefault="009E605F" w:rsidP="009E605F">
      <w:pPr>
        <w:ind w:left="90"/>
        <w:jc w:val="both"/>
        <w:rPr>
          <w:rFonts w:ascii="Calibri" w:eastAsia="Calibri" w:hAnsi="Calibri" w:cs="Calibri"/>
          <w:color w:val="000000"/>
          <w:sz w:val="22"/>
          <w:lang w:val="es-MX" w:eastAsia="es-MX"/>
        </w:rPr>
      </w:pPr>
    </w:p>
    <w:p w14:paraId="51EA8F36" w14:textId="77777777"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 xml:space="preserve">Respecto al marco normativo, se detectó una percepción generalizada sobre la necesidad de actualizar instrumentos clave, como el Código de Red, para incorporar tecnologías como almacenamiento de energía, servicios de respaldo y redes inteligentes. En particular, cinco entrevistados enfatizaron que los requisitos actuales no consideran servicios como el </w:t>
      </w:r>
      <w:proofErr w:type="spellStart"/>
      <w:r w:rsidRPr="009E605F">
        <w:rPr>
          <w:rFonts w:ascii="Calibri" w:eastAsia="Calibri" w:hAnsi="Calibri" w:cs="Calibri"/>
          <w:color w:val="000000"/>
          <w:sz w:val="22"/>
          <w:lang w:val="es-MX" w:eastAsia="es-MX"/>
        </w:rPr>
        <w:t>grid</w:t>
      </w:r>
      <w:proofErr w:type="spellEnd"/>
      <w:r w:rsidRPr="009E605F">
        <w:rPr>
          <w:rFonts w:ascii="Calibri" w:eastAsia="Calibri" w:hAnsi="Calibri" w:cs="Calibri"/>
          <w:color w:val="000000"/>
          <w:sz w:val="22"/>
          <w:lang w:val="es-MX" w:eastAsia="es-MX"/>
        </w:rPr>
        <w:t xml:space="preserve"> </w:t>
      </w:r>
      <w:proofErr w:type="spellStart"/>
      <w:r w:rsidRPr="009E605F">
        <w:rPr>
          <w:rFonts w:ascii="Calibri" w:eastAsia="Calibri" w:hAnsi="Calibri" w:cs="Calibri"/>
          <w:color w:val="000000"/>
          <w:sz w:val="22"/>
          <w:lang w:val="es-MX" w:eastAsia="es-MX"/>
        </w:rPr>
        <w:t>forming</w:t>
      </w:r>
      <w:proofErr w:type="spellEnd"/>
      <w:r w:rsidRPr="009E605F">
        <w:rPr>
          <w:rFonts w:ascii="Calibri" w:eastAsia="Calibri" w:hAnsi="Calibri" w:cs="Calibri"/>
          <w:color w:val="000000"/>
          <w:sz w:val="22"/>
          <w:lang w:val="es-MX" w:eastAsia="es-MX"/>
        </w:rPr>
        <w:t xml:space="preserve"> ni esquemas avanzados de flexibilidad. Documentos como la Directiva RED III de la Unión Europea o la experiencia danesa fueron mencionados como referentes por su capacidad para integrar renovables mediante regulación prospectiva. El análisis documental reveló que el marco regulatorio no es adaptativo, ni vinculante. Por ejemplo, la Ley de Transición Energética de México (Cámara de Diputados del Honorable Congreso de la Unión, 2015) establece metas de energía limpia, pero su aplicación ha sido principalmente indicativa y sin mecanismos de corrección obligatoria. Además, se identifica la necesidad de fortalecer la autonomía técnica del regulador, señalando que “los cambios frecuentes en regulación desalientan inversiones y debilitan la confianza en el mercado eléctrico”.</w:t>
      </w:r>
    </w:p>
    <w:p w14:paraId="2E84DF23" w14:textId="77777777" w:rsidR="009E605F" w:rsidRPr="009E605F" w:rsidRDefault="009E605F" w:rsidP="009E605F">
      <w:pPr>
        <w:ind w:left="90"/>
        <w:jc w:val="both"/>
        <w:rPr>
          <w:rFonts w:ascii="Calibri" w:eastAsia="Calibri" w:hAnsi="Calibri" w:cs="Calibri"/>
          <w:color w:val="000000"/>
          <w:sz w:val="22"/>
          <w:lang w:val="es-MX" w:eastAsia="es-MX"/>
        </w:rPr>
      </w:pPr>
    </w:p>
    <w:p w14:paraId="3A71175C" w14:textId="77777777"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En relación con la</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i/>
          <w:iCs/>
          <w:color w:val="000000"/>
          <w:sz w:val="22"/>
          <w:lang w:val="es-MX" w:eastAsia="es-MX"/>
        </w:rPr>
        <w:t>competitividad y transición energética</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color w:val="000000"/>
          <w:sz w:val="22"/>
          <w:lang w:val="es-MX" w:eastAsia="es-MX"/>
        </w:rPr>
        <w:t>los participantes abordaron la competitividad como un concepto multidimensional, que va más allá del costo nivelado de generación. Destacó que esta debe incluir eficiencia operativa, desarrollo tecnológico nacional, participación local y capacidad de adaptación a nuevas tecnologías. Uno de los entrevistados enfatizó que “mientras no se desarrolle tecnología nacional, los precios no mejorarán por competitividad del entorno”. En esta línea, cuatro entrevistados propusieron fortalecer cadenas de valor locales, especialmente en almacenamiento y electrónica de potencia. Respecto a generación distribuida y autoconsumo, se mencionaron ejemplos como la ampliación del límite para generación distribuida de 0.5 a 0.7 MW. Sin embargo, varios actores propusieron elevar este límite a 1.5 MW y vincularlo a incentivos fiscales directos. También se sugirió reconocer, mediante tarifas diferenciadas, el valor del respaldo aportado por la autogeneración industrial. En cuanto a la infraestructura de transmisión, se enfatizó que, sin redes modernas y robustas, la transición energética no podrá consolidarse. Uno de los participantes afirmó: “Sin transmisión no hay transición, el futuro tiene que ser verde o no será”. Esta afirmación refleja una preocupación compartida: la expansión renovable en zonas con alto potencial (noroeste, istmo, penínsulas) está limitada por la falta de interconexión con los centros de carga. La revisión documental mostró que no se consideran criterios de competitividad regional en la planeación de tecnologías. El Programa de Desarrollo del Sector Eléctrico Nacional (Secretaría de Energía, 2023), por ejemplo, establece metas tecnológicas sin diferenciar entre zonas del país, y sin incluir indicadores de valor agregado local o eficiencia regional.</w:t>
      </w:r>
    </w:p>
    <w:p w14:paraId="1F99EF81" w14:textId="77777777" w:rsidR="009E605F" w:rsidRPr="009E605F" w:rsidRDefault="009E605F" w:rsidP="009E605F">
      <w:pPr>
        <w:ind w:left="90"/>
        <w:jc w:val="both"/>
        <w:rPr>
          <w:rFonts w:ascii="Calibri" w:eastAsia="Calibri" w:hAnsi="Calibri" w:cs="Calibri"/>
          <w:color w:val="000000"/>
          <w:sz w:val="22"/>
          <w:lang w:val="es-MX" w:eastAsia="es-MX"/>
        </w:rPr>
      </w:pPr>
    </w:p>
    <w:p w14:paraId="6F85DB7C" w14:textId="1A1056AE"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En cuanto a los</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i/>
          <w:iCs/>
          <w:color w:val="000000"/>
          <w:sz w:val="22"/>
          <w:lang w:val="es-MX" w:eastAsia="es-MX"/>
        </w:rPr>
        <w:t>avances tecnológicos en la confiabilidad del sen</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color w:val="000000"/>
          <w:sz w:val="22"/>
          <w:lang w:val="es-MX" w:eastAsia="es-MX"/>
        </w:rPr>
        <w:t xml:space="preserve">cinco de los ocho entrevistados señalaron que la confiabilidad del sistema eléctrico está condicionada por la alta dependencia del gas natural importado. En 2022, el gas natural representó 183 512 GWh del total nacional de generación eléctrica (58.9 %), mientras que las energías renovables no convencionales aportaron 65 197 GWh (20.9 %), según datos oficiales. Este patrón genera vulnerabilidad sistémica ante interrupciones en el suministro o fluctuaciones de precios. Se identificaron como tecnologías prioritarias para fortalecer la confiabilidad: redes eléctricas inteligentes, sistemas de almacenamiento, automatización operativa, electrónica de potencia avanzada e inteligencia artificial. Las regiones del noreste y penínsulas fueron mencionadas como las más sensibles a fallas, por su menor capacidad de respaldo y escasa diversificación tecnológica. Los documentos revisados respaldaron estas preocupaciones. Investigaciones recientes como las de </w:t>
      </w:r>
      <w:proofErr w:type="spellStart"/>
      <w:r w:rsidRPr="009E605F">
        <w:rPr>
          <w:rFonts w:ascii="Calibri" w:eastAsia="Calibri" w:hAnsi="Calibri" w:cs="Calibri"/>
          <w:color w:val="000000"/>
          <w:sz w:val="22"/>
          <w:lang w:val="es-MX" w:eastAsia="es-MX"/>
        </w:rPr>
        <w:t>Sadukhan</w:t>
      </w:r>
      <w:proofErr w:type="spellEnd"/>
      <w:r w:rsidRPr="009E605F">
        <w:rPr>
          <w:rFonts w:ascii="Calibri" w:eastAsia="Calibri" w:hAnsi="Calibri" w:cs="Calibri"/>
          <w:color w:val="000000"/>
          <w:sz w:val="22"/>
          <w:lang w:val="es-MX" w:eastAsia="es-MX"/>
        </w:rPr>
        <w:t xml:space="preserve"> </w:t>
      </w:r>
      <w:r w:rsidRPr="009E605F">
        <w:rPr>
          <w:rFonts w:ascii="Calibri" w:eastAsia="Calibri" w:hAnsi="Calibri" w:cs="Calibri"/>
          <w:i/>
          <w:iCs/>
          <w:color w:val="000000"/>
          <w:sz w:val="22"/>
          <w:lang w:val="es-MX" w:eastAsia="es-MX"/>
        </w:rPr>
        <w:t>et al</w:t>
      </w:r>
      <w:r w:rsidR="00380F8D">
        <w:rPr>
          <w:rFonts w:ascii="Calibri" w:eastAsia="Calibri" w:hAnsi="Calibri" w:cs="Calibri"/>
          <w:i/>
          <w:iCs/>
          <w:color w:val="000000"/>
          <w:sz w:val="22"/>
          <w:lang w:val="es-MX" w:eastAsia="es-MX"/>
        </w:rPr>
        <w:t>.</w:t>
      </w:r>
      <w:r w:rsidRPr="009E605F">
        <w:rPr>
          <w:rFonts w:ascii="Calibri" w:eastAsia="Calibri" w:hAnsi="Calibri" w:cs="Calibri"/>
          <w:i/>
          <w:iCs/>
          <w:color w:val="000000"/>
          <w:sz w:val="22"/>
          <w:lang w:val="es-MX" w:eastAsia="es-MX"/>
        </w:rPr>
        <w:t xml:space="preserve"> </w:t>
      </w:r>
      <w:r w:rsidRPr="009E605F">
        <w:rPr>
          <w:rFonts w:ascii="Calibri" w:eastAsia="Calibri" w:hAnsi="Calibri" w:cs="Calibri"/>
          <w:color w:val="000000"/>
          <w:sz w:val="22"/>
          <w:lang w:val="es-MX" w:eastAsia="es-MX"/>
        </w:rPr>
        <w:t>(2024) estiman que la incorporación efectiva de almacenamiento y redes inteligentes podría cubrir hasta un 75 % de la demanda nacional, siempre que se integren con plataformas de control en tiempo real y protocolos de ciberseguridad.</w:t>
      </w:r>
    </w:p>
    <w:p w14:paraId="7D422A04" w14:textId="77777777" w:rsidR="009E605F" w:rsidRPr="009E605F" w:rsidRDefault="009E605F" w:rsidP="009E605F">
      <w:pPr>
        <w:ind w:left="90"/>
        <w:jc w:val="both"/>
        <w:rPr>
          <w:rFonts w:ascii="Calibri" w:eastAsia="Calibri" w:hAnsi="Calibri" w:cs="Calibri"/>
          <w:color w:val="000000"/>
          <w:sz w:val="22"/>
          <w:lang w:val="es-MX" w:eastAsia="es-MX"/>
        </w:rPr>
      </w:pPr>
    </w:p>
    <w:p w14:paraId="6E52D2F6" w14:textId="77777777" w:rsidR="009E605F" w:rsidRPr="009E605F" w:rsidRDefault="009E605F" w:rsidP="009E605F">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Sobre la</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i/>
          <w:iCs/>
          <w:color w:val="000000"/>
          <w:sz w:val="22"/>
          <w:lang w:val="es-MX" w:eastAsia="es-MX"/>
        </w:rPr>
        <w:t>Disponibilidad de recursos naturales y autosuficiencia,</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color w:val="000000"/>
          <w:sz w:val="22"/>
          <w:lang w:val="es-MX" w:eastAsia="es-MX"/>
        </w:rPr>
        <w:t>los participantes identificaron como prioritarios los recursos solares, eólicos y geotérmicos, debido a su abundancia y viabilidad técnica. Cinco entrevistados consideraron que el aprovechamiento del recurso solar, en particular mediante sistemas distribuidos, representa la opción más viable para avanzar en la autosuficiencia eléctrica. También se destacó el potencial eólico en el Istmo de Tehuantepec, noreste y península de Yucatán, y el recurso geotérmico en zonas volcánicas del centro y noroeste del país. Sin embargo, se identificaron barreras relacionadas con la distancia entre centros de generación y de carga, los derechos de vía, y la planificación territorial del uso del suelo. Dos entrevistados propusieron priorizar terrenos no agrícolas para evitar conflictos con el sector agroalimentario. En la literatura, informes de Secretaría de Energía (2025) y Consejo Nacional de Humanidades, Ciencias y Tecnologías (2023) confirman que el país cuenta con un alto potencial técnico en solar, eólica, geotermia y biomasa. No obstante, advierten que la dependencia del gas natural importado y la debilidad en la transmisión limitan su aprovechamiento. Solo algunos de los documentos analizados incluyen propuestas territoriales explícitas para integrar fuentes renovables al sistema eléctrico. Se mencionó el hidrógeno como vector energético emergente. Tres entrevistados lo consideran clave en una estrategia futura de diversificación energética, especialmente para su uso industrial y como respaldo en zonas aisladas.</w:t>
      </w:r>
    </w:p>
    <w:p w14:paraId="7A741CC7" w14:textId="77777777" w:rsidR="009E605F" w:rsidRPr="009E605F" w:rsidRDefault="009E605F" w:rsidP="009E605F">
      <w:pPr>
        <w:ind w:left="90"/>
        <w:jc w:val="both"/>
        <w:rPr>
          <w:rFonts w:ascii="Calibri" w:eastAsia="Calibri" w:hAnsi="Calibri" w:cs="Calibri"/>
          <w:color w:val="000000"/>
          <w:sz w:val="22"/>
          <w:lang w:val="es-MX" w:eastAsia="es-MX"/>
        </w:rPr>
      </w:pPr>
    </w:p>
    <w:p w14:paraId="64F8B4F4" w14:textId="77777777" w:rsidR="00D544C6" w:rsidRDefault="009E605F" w:rsidP="00D544C6">
      <w:pPr>
        <w:ind w:left="90"/>
        <w:jc w:val="both"/>
        <w:rPr>
          <w:rFonts w:ascii="Calibri" w:eastAsia="Calibri" w:hAnsi="Calibri" w:cs="Calibri"/>
          <w:color w:val="000000"/>
          <w:sz w:val="22"/>
          <w:lang w:val="es-MX" w:eastAsia="es-MX"/>
        </w:rPr>
      </w:pPr>
      <w:r w:rsidRPr="009E605F">
        <w:rPr>
          <w:rFonts w:ascii="Calibri" w:eastAsia="Calibri" w:hAnsi="Calibri" w:cs="Calibri"/>
          <w:color w:val="000000"/>
          <w:sz w:val="22"/>
          <w:lang w:val="es-MX" w:eastAsia="es-MX"/>
        </w:rPr>
        <w:t>En relación con la</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i/>
          <w:iCs/>
          <w:color w:val="000000"/>
          <w:sz w:val="22"/>
          <w:lang w:val="es-MX" w:eastAsia="es-MX"/>
        </w:rPr>
        <w:t>Evaluación de prospectivas energéticas,</w:t>
      </w:r>
      <w:r w:rsidRPr="009E605F">
        <w:rPr>
          <w:rFonts w:ascii="Calibri" w:eastAsia="Calibri" w:hAnsi="Calibri" w:cs="Calibri"/>
          <w:b/>
          <w:bCs/>
          <w:color w:val="000000"/>
          <w:sz w:val="22"/>
          <w:lang w:val="es-MX" w:eastAsia="es-MX"/>
        </w:rPr>
        <w:t xml:space="preserve"> </w:t>
      </w:r>
      <w:r w:rsidRPr="009E605F">
        <w:rPr>
          <w:rFonts w:ascii="Calibri" w:eastAsia="Calibri" w:hAnsi="Calibri" w:cs="Calibri"/>
          <w:color w:val="000000"/>
          <w:sz w:val="22"/>
          <w:lang w:val="es-MX" w:eastAsia="es-MX"/>
        </w:rPr>
        <w:t>los entrevistados coincidieron en que la actual planeación energética se encuentra fragmentada, y carece de modelos integradores. Siete de los ocho propusieron adoptar herramientas de análisis de datos, algoritmos e inteligencia artificial para construir escenarios flexibles, capaces de adaptarse a la incertidumbre tecnológica y a las variaciones en la demanda. En este sentido, se valoró la inclusión de metas de energía limpia basadas en energía entregada (</w:t>
      </w:r>
      <w:proofErr w:type="spellStart"/>
      <w:r w:rsidRPr="009E605F">
        <w:rPr>
          <w:rFonts w:ascii="Calibri" w:eastAsia="Calibri" w:hAnsi="Calibri" w:cs="Calibri"/>
          <w:color w:val="000000"/>
          <w:sz w:val="22"/>
          <w:lang w:val="es-MX" w:eastAsia="es-MX"/>
        </w:rPr>
        <w:t>MWh</w:t>
      </w:r>
      <w:proofErr w:type="spellEnd"/>
      <w:r w:rsidRPr="009E605F">
        <w:rPr>
          <w:rFonts w:ascii="Calibri" w:eastAsia="Calibri" w:hAnsi="Calibri" w:cs="Calibri"/>
          <w:color w:val="000000"/>
          <w:sz w:val="22"/>
          <w:lang w:val="es-MX" w:eastAsia="es-MX"/>
        </w:rPr>
        <w:t xml:space="preserve">), y no solo en capacidad instalada (MW), para evitar distorsiones al evaluar el impacto real de las energías renovables. También se propuso el establecimiento de criterios de pérdida de carga aceptable, así como el diseño de matrices energéticas regionales con enfoque multinivel y multiobjetivo. Se sugirió integrar tecnologías firmes (hidroeléctrica, nuclear, ciclos combinados), renovables gestionables, almacenamiento y redes inteligentes, de acuerdo con las características de cada zona del país. Los documentos prospectivos analizados mostraron un rezago importante en esta dimensión, ya que escasamente se incluyeron escenarios que combinan tecnologías emergentes con criterios de confiabilidad, participación local o evaluación de riesgos. Modelos internacionales como el Energy Concept de Alemania (World Nuclear </w:t>
      </w:r>
      <w:proofErr w:type="spellStart"/>
      <w:r w:rsidRPr="009E605F">
        <w:rPr>
          <w:rFonts w:ascii="Calibri" w:eastAsia="Calibri" w:hAnsi="Calibri" w:cs="Calibri"/>
          <w:color w:val="000000"/>
          <w:sz w:val="22"/>
          <w:lang w:val="es-MX" w:eastAsia="es-MX"/>
        </w:rPr>
        <w:t>Association</w:t>
      </w:r>
      <w:proofErr w:type="spellEnd"/>
      <w:r w:rsidRPr="009E605F">
        <w:rPr>
          <w:rFonts w:ascii="Calibri" w:eastAsia="Calibri" w:hAnsi="Calibri" w:cs="Calibri"/>
          <w:color w:val="000000"/>
          <w:sz w:val="22"/>
          <w:lang w:val="es-MX" w:eastAsia="es-MX"/>
        </w:rPr>
        <w:t xml:space="preserve">, 2021) o la Estrategia 2050 de Dinamarca (International Energy Agency, 2023a) fueron referidos como buenas prácticas. </w:t>
      </w:r>
    </w:p>
    <w:p w14:paraId="04ACD731" w14:textId="77777777" w:rsidR="00D544C6" w:rsidRDefault="00D544C6" w:rsidP="00D544C6">
      <w:pPr>
        <w:ind w:left="90"/>
        <w:jc w:val="both"/>
        <w:rPr>
          <w:rFonts w:ascii="Calibri" w:eastAsia="Calibri" w:hAnsi="Calibri" w:cs="Calibri"/>
          <w:color w:val="000000"/>
          <w:sz w:val="22"/>
          <w:lang w:val="es-MX" w:eastAsia="es-MX"/>
        </w:rPr>
      </w:pPr>
    </w:p>
    <w:p w14:paraId="405FE485" w14:textId="3442E08A" w:rsidR="00F70C8E" w:rsidRDefault="00735A83" w:rsidP="00D544C6">
      <w:pPr>
        <w:ind w:left="90"/>
        <w:jc w:val="both"/>
        <w:rPr>
          <w:rFonts w:ascii="Calibri" w:hAnsi="Calibri" w:cs="Calibri"/>
          <w:b/>
          <w:sz w:val="22"/>
          <w:lang w:val="es-CO"/>
        </w:rPr>
      </w:pPr>
      <w:r w:rsidRPr="00735A83">
        <w:rPr>
          <w:rFonts w:ascii="Calibri" w:hAnsi="Calibri" w:cs="Calibri"/>
          <w:b/>
          <w:sz w:val="22"/>
          <w:lang w:val="es-CO"/>
        </w:rPr>
        <w:t>DISCUSIÓN</w:t>
      </w:r>
    </w:p>
    <w:p w14:paraId="4E210D20" w14:textId="77777777" w:rsidR="00855FA5" w:rsidRDefault="00855FA5" w:rsidP="00D544C6">
      <w:pPr>
        <w:ind w:left="90"/>
        <w:jc w:val="both"/>
        <w:rPr>
          <w:rFonts w:ascii="Calibri" w:hAnsi="Calibri" w:cs="Calibri"/>
          <w:b/>
          <w:sz w:val="22"/>
          <w:lang w:val="es-CO"/>
        </w:rPr>
      </w:pPr>
    </w:p>
    <w:p w14:paraId="598B762A"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 xml:space="preserve">La </w:t>
      </w:r>
      <w:r w:rsidRPr="00855FA5">
        <w:rPr>
          <w:rFonts w:ascii="Calibri" w:eastAsia="Calibri" w:hAnsi="Calibri" w:cs="Calibri"/>
          <w:i/>
          <w:iCs/>
          <w:color w:val="000000"/>
          <w:sz w:val="22"/>
          <w:lang w:val="es-MX" w:eastAsia="es-MX"/>
        </w:rPr>
        <w:t>tabla 2</w:t>
      </w:r>
      <w:r w:rsidRPr="00855FA5">
        <w:rPr>
          <w:rFonts w:ascii="Calibri" w:eastAsia="Calibri" w:hAnsi="Calibri" w:cs="Calibri"/>
          <w:color w:val="000000"/>
          <w:sz w:val="22"/>
          <w:lang w:val="es-MX" w:eastAsia="es-MX"/>
        </w:rPr>
        <w:t xml:space="preserve"> presenta una síntesis de citas textuales de los entrevistados (E1-E8), organizadas en torno a ideas clave que emergen como puntos de convergencia entre los distintos testimonios. Asimismo, se incluye la columna de referencia temporal, en minutos y segundos, correspondiente al momento exacto de la grabación en que cada declaración fue expresada. En primer lugar, se subraya la importancia de la generación distribuida y el autoconsumo como estrategias para descentralizar el sistema eléctrico, a fin de mejorar su eficiencia y confiabilidad. Las voces entrevistadas coinciden en que este enfoque no solo representa una vía para reducir costos operativos, sino también una alternativa viable para zonas con deficiencias en infraestructura o centros de carga intensiva. Otro aspecto señalado de forma recurrente es la incorporación del almacenamiento como un componente estructural del sistema eléctrico. Deja de percibirse como un complemento opcional para convertirse en una tecnología crítica, cuya integración efectiva requiere un marco regulatorio apropiado para su operación y comercialización.</w:t>
      </w:r>
    </w:p>
    <w:p w14:paraId="5640FCF4" w14:textId="77777777" w:rsidR="00855FA5" w:rsidRPr="00855FA5" w:rsidRDefault="00855FA5" w:rsidP="00855FA5">
      <w:pPr>
        <w:jc w:val="both"/>
        <w:rPr>
          <w:rFonts w:ascii="Calibri" w:eastAsia="Calibri" w:hAnsi="Calibri" w:cs="Calibri"/>
          <w:color w:val="000000"/>
          <w:sz w:val="24"/>
          <w:szCs w:val="24"/>
          <w:lang w:val="es-MX" w:eastAsia="es-MX"/>
        </w:rPr>
      </w:pPr>
    </w:p>
    <w:p w14:paraId="5B6613AA" w14:textId="77777777" w:rsidR="00855FA5" w:rsidRDefault="00855FA5">
      <w:pPr>
        <w:rPr>
          <w:rFonts w:ascii="Calibri" w:eastAsia="Calibri" w:hAnsi="Calibri" w:cs="Calibri"/>
          <w:b/>
          <w:bCs/>
          <w:color w:val="000000"/>
          <w:sz w:val="20"/>
          <w:szCs w:val="20"/>
          <w:lang w:val="es-MX" w:eastAsia="es-MX"/>
        </w:rPr>
      </w:pPr>
      <w:r>
        <w:rPr>
          <w:rFonts w:ascii="Calibri" w:eastAsia="Calibri" w:hAnsi="Calibri" w:cs="Calibri"/>
          <w:b/>
          <w:bCs/>
          <w:color w:val="000000"/>
          <w:sz w:val="20"/>
          <w:szCs w:val="20"/>
          <w:lang w:val="es-MX" w:eastAsia="es-MX"/>
        </w:rPr>
        <w:br w:type="page"/>
      </w:r>
    </w:p>
    <w:p w14:paraId="1634F25D" w14:textId="31852195" w:rsidR="00855FA5" w:rsidRPr="00855FA5" w:rsidRDefault="00855FA5" w:rsidP="00855FA5">
      <w:pPr>
        <w:jc w:val="center"/>
        <w:rPr>
          <w:rFonts w:ascii="Calibri" w:eastAsia="Calibri" w:hAnsi="Calibri" w:cs="Calibri"/>
          <w:i/>
          <w:iCs/>
          <w:color w:val="000000"/>
          <w:sz w:val="20"/>
          <w:szCs w:val="20"/>
          <w:lang w:val="es-MX" w:eastAsia="es-MX"/>
        </w:rPr>
      </w:pPr>
      <w:r w:rsidRPr="00855FA5">
        <w:rPr>
          <w:rFonts w:ascii="Calibri" w:eastAsia="Calibri" w:hAnsi="Calibri" w:cs="Calibri"/>
          <w:b/>
          <w:bCs/>
          <w:color w:val="000000"/>
          <w:sz w:val="20"/>
          <w:szCs w:val="20"/>
          <w:lang w:val="es-MX" w:eastAsia="es-MX"/>
        </w:rPr>
        <w:t xml:space="preserve">Tabla 2. </w:t>
      </w:r>
      <w:r w:rsidRPr="00855FA5">
        <w:rPr>
          <w:rFonts w:ascii="Calibri" w:eastAsia="Calibri" w:hAnsi="Calibri" w:cs="Calibri"/>
          <w:i/>
          <w:iCs/>
          <w:color w:val="000000"/>
          <w:sz w:val="20"/>
          <w:szCs w:val="20"/>
          <w:lang w:val="es-MX" w:eastAsia="es-MX"/>
        </w:rPr>
        <w:t>Matriz de análisis de las entrevistas. Competitividad y transición energética.</w:t>
      </w:r>
    </w:p>
    <w:p w14:paraId="08428579" w14:textId="77777777" w:rsidR="00855FA5" w:rsidRPr="00855FA5" w:rsidRDefault="00855FA5" w:rsidP="00855FA5">
      <w:pPr>
        <w:jc w:val="center"/>
        <w:rPr>
          <w:rFonts w:ascii="Calibri" w:eastAsia="Calibri" w:hAnsi="Calibri" w:cs="Calibri"/>
          <w:i/>
          <w:iCs/>
          <w:color w:val="000000"/>
          <w:sz w:val="20"/>
          <w:szCs w:val="20"/>
          <w:lang w:val="es-MX" w:eastAsia="es-MX"/>
        </w:rPr>
      </w:pPr>
    </w:p>
    <w:tbl>
      <w:tblPr>
        <w:tblW w:w="900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663"/>
        <w:gridCol w:w="1847"/>
        <w:gridCol w:w="4410"/>
        <w:gridCol w:w="450"/>
        <w:gridCol w:w="630"/>
      </w:tblGrid>
      <w:tr w:rsidR="00855FA5" w:rsidRPr="00855FA5" w14:paraId="57C683ED" w14:textId="77777777" w:rsidTr="00855FA5">
        <w:trPr>
          <w:jc w:val="center"/>
        </w:trPr>
        <w:tc>
          <w:tcPr>
            <w:tcW w:w="1663" w:type="dxa"/>
            <w:tcBorders>
              <w:left w:val="nil"/>
              <w:bottom w:val="single" w:sz="4" w:space="0" w:color="auto"/>
              <w:right w:val="nil"/>
            </w:tcBorders>
            <w:vAlign w:val="center"/>
          </w:tcPr>
          <w:p w14:paraId="7B072275" w14:textId="77777777" w:rsidR="00855FA5" w:rsidRPr="00855FA5" w:rsidRDefault="00855FA5" w:rsidP="00855FA5">
            <w:pPr>
              <w:jc w:val="center"/>
              <w:rPr>
                <w:rFonts w:ascii="Calibri" w:eastAsia="Calibri" w:hAnsi="Calibri" w:cs="Calibri"/>
                <w:b/>
                <w:bCs/>
                <w:color w:val="000000"/>
                <w:sz w:val="20"/>
                <w:szCs w:val="20"/>
                <w:lang w:val="es-MX" w:eastAsia="es-MX"/>
              </w:rPr>
            </w:pPr>
            <w:r w:rsidRPr="00855FA5">
              <w:rPr>
                <w:rFonts w:ascii="Calibri" w:eastAsia="Calibri" w:hAnsi="Calibri" w:cs="Calibri"/>
                <w:b/>
                <w:bCs/>
                <w:color w:val="000000"/>
                <w:sz w:val="20"/>
                <w:szCs w:val="20"/>
                <w:lang w:val="es-MX" w:eastAsia="es-MX"/>
              </w:rPr>
              <w:t>Subtema</w:t>
            </w:r>
          </w:p>
        </w:tc>
        <w:tc>
          <w:tcPr>
            <w:tcW w:w="1847" w:type="dxa"/>
            <w:tcBorders>
              <w:left w:val="nil"/>
              <w:bottom w:val="single" w:sz="4" w:space="0" w:color="auto"/>
              <w:right w:val="nil"/>
            </w:tcBorders>
            <w:vAlign w:val="center"/>
          </w:tcPr>
          <w:p w14:paraId="5BC1E8D9" w14:textId="77777777" w:rsidR="00855FA5" w:rsidRPr="00855FA5" w:rsidRDefault="00855FA5" w:rsidP="00855FA5">
            <w:pPr>
              <w:jc w:val="center"/>
              <w:rPr>
                <w:rFonts w:ascii="Calibri" w:eastAsia="Calibri" w:hAnsi="Calibri" w:cs="Calibri"/>
                <w:b/>
                <w:bCs/>
                <w:color w:val="000000"/>
                <w:sz w:val="20"/>
                <w:szCs w:val="20"/>
                <w:lang w:val="es-MX" w:eastAsia="es-MX"/>
              </w:rPr>
            </w:pPr>
            <w:r w:rsidRPr="00855FA5">
              <w:rPr>
                <w:rFonts w:ascii="Calibri" w:eastAsia="Calibri" w:hAnsi="Calibri" w:cs="Calibri"/>
                <w:b/>
                <w:bCs/>
                <w:color w:val="000000"/>
                <w:sz w:val="20"/>
                <w:szCs w:val="20"/>
                <w:lang w:val="es-MX" w:eastAsia="es-MX"/>
              </w:rPr>
              <w:t>Descripción</w:t>
            </w:r>
          </w:p>
        </w:tc>
        <w:tc>
          <w:tcPr>
            <w:tcW w:w="4410" w:type="dxa"/>
            <w:tcBorders>
              <w:left w:val="nil"/>
              <w:bottom w:val="single" w:sz="4" w:space="0" w:color="auto"/>
              <w:right w:val="nil"/>
            </w:tcBorders>
            <w:vAlign w:val="center"/>
          </w:tcPr>
          <w:p w14:paraId="390EC0E6" w14:textId="77777777" w:rsidR="00855FA5" w:rsidRPr="00855FA5" w:rsidRDefault="00855FA5" w:rsidP="00855FA5">
            <w:pPr>
              <w:jc w:val="center"/>
              <w:rPr>
                <w:rFonts w:ascii="Calibri" w:eastAsia="Calibri" w:hAnsi="Calibri" w:cs="Calibri"/>
                <w:b/>
                <w:bCs/>
                <w:color w:val="000000"/>
                <w:sz w:val="20"/>
                <w:szCs w:val="20"/>
                <w:lang w:val="es-MX" w:eastAsia="es-MX"/>
              </w:rPr>
            </w:pPr>
            <w:r w:rsidRPr="00855FA5">
              <w:rPr>
                <w:rFonts w:ascii="Calibri" w:eastAsia="Calibri" w:hAnsi="Calibri" w:cs="Calibri"/>
                <w:b/>
                <w:bCs/>
                <w:color w:val="000000"/>
                <w:sz w:val="20"/>
                <w:szCs w:val="20"/>
                <w:lang w:val="es-MX" w:eastAsia="es-MX"/>
              </w:rPr>
              <w:t>Cita textual</w:t>
            </w:r>
          </w:p>
        </w:tc>
        <w:tc>
          <w:tcPr>
            <w:tcW w:w="450" w:type="dxa"/>
            <w:tcBorders>
              <w:left w:val="nil"/>
              <w:bottom w:val="single" w:sz="4" w:space="0" w:color="auto"/>
              <w:right w:val="nil"/>
            </w:tcBorders>
            <w:vAlign w:val="center"/>
          </w:tcPr>
          <w:p w14:paraId="060AF8E5" w14:textId="77777777" w:rsidR="00855FA5" w:rsidRPr="00855FA5" w:rsidRDefault="00855FA5" w:rsidP="00855FA5">
            <w:pPr>
              <w:jc w:val="center"/>
              <w:rPr>
                <w:rFonts w:ascii="Calibri" w:eastAsia="Calibri" w:hAnsi="Calibri" w:cs="Calibri"/>
                <w:b/>
                <w:bCs/>
                <w:color w:val="000000"/>
                <w:sz w:val="20"/>
                <w:szCs w:val="20"/>
                <w:lang w:val="es-MX" w:eastAsia="es-MX"/>
              </w:rPr>
            </w:pPr>
            <w:r w:rsidRPr="00855FA5">
              <w:rPr>
                <w:rFonts w:ascii="Calibri" w:eastAsia="Calibri" w:hAnsi="Calibri" w:cs="Calibri"/>
                <w:b/>
                <w:bCs/>
                <w:color w:val="000000"/>
                <w:sz w:val="20"/>
                <w:szCs w:val="20"/>
                <w:lang w:val="es-MX" w:eastAsia="es-MX"/>
              </w:rPr>
              <w:t>E</w:t>
            </w:r>
          </w:p>
        </w:tc>
        <w:tc>
          <w:tcPr>
            <w:tcW w:w="630" w:type="dxa"/>
            <w:tcBorders>
              <w:left w:val="nil"/>
              <w:bottom w:val="single" w:sz="4" w:space="0" w:color="auto"/>
              <w:right w:val="nil"/>
            </w:tcBorders>
            <w:vAlign w:val="center"/>
          </w:tcPr>
          <w:p w14:paraId="6DFB2BA6" w14:textId="77777777" w:rsidR="00855FA5" w:rsidRPr="00855FA5" w:rsidRDefault="00855FA5" w:rsidP="00855FA5">
            <w:pPr>
              <w:jc w:val="center"/>
              <w:rPr>
                <w:rFonts w:ascii="Calibri" w:eastAsia="Calibri" w:hAnsi="Calibri" w:cs="Calibri"/>
                <w:b/>
                <w:bCs/>
                <w:color w:val="000000"/>
                <w:sz w:val="20"/>
                <w:szCs w:val="20"/>
                <w:lang w:val="es-MX" w:eastAsia="es-MX"/>
              </w:rPr>
            </w:pPr>
            <w:r w:rsidRPr="00855FA5">
              <w:rPr>
                <w:rFonts w:ascii="Calibri" w:eastAsia="Calibri" w:hAnsi="Calibri" w:cs="Calibri"/>
                <w:b/>
                <w:bCs/>
                <w:color w:val="000000"/>
                <w:sz w:val="20"/>
                <w:szCs w:val="20"/>
                <w:lang w:val="es-MX" w:eastAsia="es-MX"/>
              </w:rPr>
              <w:t>Ref.</w:t>
            </w:r>
          </w:p>
        </w:tc>
      </w:tr>
      <w:tr w:rsidR="00855FA5" w:rsidRPr="00855FA5" w14:paraId="518C4B03" w14:textId="77777777" w:rsidTr="00855FA5">
        <w:trPr>
          <w:jc w:val="center"/>
        </w:trPr>
        <w:tc>
          <w:tcPr>
            <w:tcW w:w="1663" w:type="dxa"/>
            <w:vMerge w:val="restart"/>
            <w:tcBorders>
              <w:top w:val="single" w:sz="4" w:space="0" w:color="auto"/>
              <w:left w:val="nil"/>
              <w:right w:val="nil"/>
            </w:tcBorders>
            <w:vAlign w:val="center"/>
          </w:tcPr>
          <w:p w14:paraId="75C0086A"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Importancia de la generación distribuida y autoconsumo</w:t>
            </w:r>
          </w:p>
        </w:tc>
        <w:tc>
          <w:tcPr>
            <w:tcW w:w="1847" w:type="dxa"/>
            <w:vMerge w:val="restart"/>
            <w:tcBorders>
              <w:top w:val="single" w:sz="4" w:space="0" w:color="auto"/>
              <w:left w:val="nil"/>
              <w:bottom w:val="nil"/>
              <w:right w:val="nil"/>
            </w:tcBorders>
            <w:vAlign w:val="center"/>
          </w:tcPr>
          <w:p w14:paraId="630FCB3C"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La generación distribuida se percibe como una estrategia clave para incrementar la competitividad y descentralizar el sistema.</w:t>
            </w:r>
          </w:p>
        </w:tc>
        <w:tc>
          <w:tcPr>
            <w:tcW w:w="4410" w:type="dxa"/>
            <w:tcBorders>
              <w:top w:val="single" w:sz="4" w:space="0" w:color="auto"/>
              <w:left w:val="nil"/>
              <w:bottom w:val="nil"/>
              <w:right w:val="nil"/>
            </w:tcBorders>
            <w:vAlign w:val="center"/>
          </w:tcPr>
          <w:p w14:paraId="6FF49908"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"La generación distribuida tiene un retorno de inversión muy atractivo para cualquier sector que busca mejorar su competitividad."</w:t>
            </w:r>
          </w:p>
        </w:tc>
        <w:tc>
          <w:tcPr>
            <w:tcW w:w="450" w:type="dxa"/>
            <w:tcBorders>
              <w:top w:val="single" w:sz="4" w:space="0" w:color="auto"/>
              <w:left w:val="nil"/>
              <w:bottom w:val="nil"/>
              <w:right w:val="nil"/>
            </w:tcBorders>
            <w:vAlign w:val="center"/>
          </w:tcPr>
          <w:p w14:paraId="159FB8C0"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E8</w:t>
            </w:r>
          </w:p>
        </w:tc>
        <w:tc>
          <w:tcPr>
            <w:tcW w:w="630" w:type="dxa"/>
            <w:tcBorders>
              <w:top w:val="single" w:sz="4" w:space="0" w:color="auto"/>
              <w:left w:val="nil"/>
              <w:bottom w:val="nil"/>
              <w:right w:val="nil"/>
            </w:tcBorders>
            <w:vAlign w:val="center"/>
          </w:tcPr>
          <w:p w14:paraId="2B7F6682"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1:22</w:t>
            </w:r>
          </w:p>
        </w:tc>
      </w:tr>
      <w:tr w:rsidR="00855FA5" w:rsidRPr="00855FA5" w14:paraId="501FDD16" w14:textId="77777777" w:rsidTr="00855FA5">
        <w:trPr>
          <w:jc w:val="center"/>
        </w:trPr>
        <w:tc>
          <w:tcPr>
            <w:tcW w:w="1663" w:type="dxa"/>
            <w:vMerge/>
            <w:tcBorders>
              <w:left w:val="nil"/>
              <w:right w:val="nil"/>
            </w:tcBorders>
            <w:vAlign w:val="center"/>
          </w:tcPr>
          <w:p w14:paraId="0E269E5D"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nil"/>
              <w:left w:val="nil"/>
              <w:right w:val="nil"/>
            </w:tcBorders>
            <w:vAlign w:val="center"/>
          </w:tcPr>
          <w:p w14:paraId="7A961B51"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nil"/>
              <w:right w:val="nil"/>
            </w:tcBorders>
            <w:vAlign w:val="center"/>
          </w:tcPr>
          <w:p w14:paraId="6BA2E1D8"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"Creo que se necesita habilitar la generación distribuida en zonas con deficiencia de red para que se incentive el autoconsumo industrial y comercial."</w:t>
            </w:r>
          </w:p>
        </w:tc>
        <w:tc>
          <w:tcPr>
            <w:tcW w:w="450" w:type="dxa"/>
            <w:tcBorders>
              <w:top w:val="nil"/>
              <w:left w:val="nil"/>
              <w:bottom w:val="nil"/>
              <w:right w:val="nil"/>
            </w:tcBorders>
            <w:vAlign w:val="center"/>
          </w:tcPr>
          <w:p w14:paraId="62BEF934"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E3</w:t>
            </w:r>
          </w:p>
        </w:tc>
        <w:tc>
          <w:tcPr>
            <w:tcW w:w="630" w:type="dxa"/>
            <w:tcBorders>
              <w:top w:val="nil"/>
              <w:left w:val="nil"/>
              <w:bottom w:val="nil"/>
              <w:right w:val="nil"/>
            </w:tcBorders>
            <w:vAlign w:val="center"/>
          </w:tcPr>
          <w:p w14:paraId="536B22B8"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1:27</w:t>
            </w:r>
          </w:p>
        </w:tc>
      </w:tr>
      <w:tr w:rsidR="00855FA5" w:rsidRPr="00855FA5" w14:paraId="3E830D85" w14:textId="77777777" w:rsidTr="00855FA5">
        <w:trPr>
          <w:jc w:val="center"/>
        </w:trPr>
        <w:tc>
          <w:tcPr>
            <w:tcW w:w="1663" w:type="dxa"/>
            <w:vMerge/>
            <w:tcBorders>
              <w:left w:val="nil"/>
              <w:bottom w:val="single" w:sz="4" w:space="0" w:color="999999"/>
              <w:right w:val="nil"/>
            </w:tcBorders>
            <w:vAlign w:val="center"/>
          </w:tcPr>
          <w:p w14:paraId="71717293"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left w:val="nil"/>
              <w:bottom w:val="single" w:sz="4" w:space="0" w:color="auto"/>
              <w:right w:val="nil"/>
            </w:tcBorders>
            <w:vAlign w:val="center"/>
          </w:tcPr>
          <w:p w14:paraId="28456C96"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single" w:sz="4" w:space="0" w:color="auto"/>
              <w:right w:val="nil"/>
            </w:tcBorders>
            <w:vAlign w:val="center"/>
          </w:tcPr>
          <w:p w14:paraId="0A6381A6"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"Los grandes centros de carga deben contar con opciones de autogeneración para no depender de infraestructura incosteable."</w:t>
            </w:r>
          </w:p>
        </w:tc>
        <w:tc>
          <w:tcPr>
            <w:tcW w:w="450" w:type="dxa"/>
            <w:tcBorders>
              <w:top w:val="nil"/>
              <w:left w:val="nil"/>
              <w:bottom w:val="single" w:sz="4" w:space="0" w:color="auto"/>
              <w:right w:val="nil"/>
            </w:tcBorders>
            <w:vAlign w:val="center"/>
          </w:tcPr>
          <w:p w14:paraId="267177E7"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E7</w:t>
            </w:r>
          </w:p>
        </w:tc>
        <w:tc>
          <w:tcPr>
            <w:tcW w:w="630" w:type="dxa"/>
            <w:tcBorders>
              <w:top w:val="nil"/>
              <w:left w:val="nil"/>
              <w:bottom w:val="single" w:sz="4" w:space="0" w:color="auto"/>
              <w:right w:val="nil"/>
            </w:tcBorders>
            <w:vAlign w:val="center"/>
          </w:tcPr>
          <w:p w14:paraId="6A118E0A"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1:33</w:t>
            </w:r>
          </w:p>
        </w:tc>
      </w:tr>
      <w:tr w:rsidR="00855FA5" w:rsidRPr="00855FA5" w14:paraId="4A8CB900" w14:textId="77777777" w:rsidTr="00855FA5">
        <w:trPr>
          <w:jc w:val="center"/>
        </w:trPr>
        <w:tc>
          <w:tcPr>
            <w:tcW w:w="1663" w:type="dxa"/>
            <w:vMerge w:val="restart"/>
            <w:tcBorders>
              <w:left w:val="nil"/>
              <w:right w:val="nil"/>
            </w:tcBorders>
            <w:vAlign w:val="center"/>
          </w:tcPr>
          <w:p w14:paraId="44AA72C5"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Necesidad de infraestructura de transmisión para habilitar la transición</w:t>
            </w:r>
          </w:p>
        </w:tc>
        <w:tc>
          <w:tcPr>
            <w:tcW w:w="1847" w:type="dxa"/>
            <w:vMerge w:val="restart"/>
            <w:tcBorders>
              <w:top w:val="single" w:sz="4" w:space="0" w:color="auto"/>
              <w:left w:val="nil"/>
              <w:bottom w:val="single" w:sz="4" w:space="0" w:color="auto"/>
              <w:right w:val="nil"/>
            </w:tcBorders>
            <w:vAlign w:val="center"/>
          </w:tcPr>
          <w:p w14:paraId="5A01C608"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Señalan que, sin redes de transmisión modernas y suficientes, no puede avanzar la transición ni la competitividad.</w:t>
            </w:r>
          </w:p>
        </w:tc>
        <w:tc>
          <w:tcPr>
            <w:tcW w:w="4410" w:type="dxa"/>
            <w:tcBorders>
              <w:top w:val="single" w:sz="4" w:space="0" w:color="auto"/>
              <w:left w:val="nil"/>
              <w:bottom w:val="nil"/>
              <w:right w:val="nil"/>
            </w:tcBorders>
            <w:vAlign w:val="center"/>
          </w:tcPr>
          <w:p w14:paraId="11171247"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"Sin transmisión no hay transición, el futuro tiene que ser verde o no será."</w:t>
            </w:r>
          </w:p>
        </w:tc>
        <w:tc>
          <w:tcPr>
            <w:tcW w:w="450" w:type="dxa"/>
            <w:tcBorders>
              <w:top w:val="single" w:sz="4" w:space="0" w:color="auto"/>
              <w:left w:val="nil"/>
              <w:bottom w:val="nil"/>
              <w:right w:val="nil"/>
            </w:tcBorders>
            <w:vAlign w:val="center"/>
          </w:tcPr>
          <w:p w14:paraId="3D24DA73"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E8</w:t>
            </w:r>
          </w:p>
        </w:tc>
        <w:tc>
          <w:tcPr>
            <w:tcW w:w="630" w:type="dxa"/>
            <w:tcBorders>
              <w:top w:val="single" w:sz="4" w:space="0" w:color="auto"/>
              <w:left w:val="nil"/>
              <w:bottom w:val="nil"/>
              <w:right w:val="nil"/>
            </w:tcBorders>
            <w:vAlign w:val="center"/>
          </w:tcPr>
          <w:p w14:paraId="49DD5182"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1:57</w:t>
            </w:r>
          </w:p>
        </w:tc>
      </w:tr>
      <w:tr w:rsidR="00855FA5" w:rsidRPr="00855FA5" w14:paraId="034BB8F6" w14:textId="77777777" w:rsidTr="00855FA5">
        <w:trPr>
          <w:jc w:val="center"/>
        </w:trPr>
        <w:tc>
          <w:tcPr>
            <w:tcW w:w="1663" w:type="dxa"/>
            <w:vMerge/>
            <w:tcBorders>
              <w:left w:val="nil"/>
              <w:right w:val="nil"/>
            </w:tcBorders>
            <w:vAlign w:val="center"/>
          </w:tcPr>
          <w:p w14:paraId="13A20780"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auto"/>
              <w:left w:val="nil"/>
              <w:bottom w:val="single" w:sz="4" w:space="0" w:color="auto"/>
              <w:right w:val="nil"/>
            </w:tcBorders>
            <w:vAlign w:val="center"/>
          </w:tcPr>
          <w:p w14:paraId="4A066C73"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nil"/>
              <w:right w:val="nil"/>
            </w:tcBorders>
            <w:vAlign w:val="center"/>
          </w:tcPr>
          <w:p w14:paraId="737B6565"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"Una red robusta ayuda bastante a la confianza del sistema y a que los sectores sean competitivos."</w:t>
            </w:r>
          </w:p>
        </w:tc>
        <w:tc>
          <w:tcPr>
            <w:tcW w:w="450" w:type="dxa"/>
            <w:tcBorders>
              <w:top w:val="nil"/>
              <w:left w:val="nil"/>
              <w:bottom w:val="nil"/>
              <w:right w:val="nil"/>
            </w:tcBorders>
            <w:vAlign w:val="center"/>
          </w:tcPr>
          <w:p w14:paraId="5FEDC9ED"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E7</w:t>
            </w:r>
          </w:p>
        </w:tc>
        <w:tc>
          <w:tcPr>
            <w:tcW w:w="630" w:type="dxa"/>
            <w:tcBorders>
              <w:top w:val="nil"/>
              <w:left w:val="nil"/>
              <w:bottom w:val="nil"/>
              <w:right w:val="nil"/>
            </w:tcBorders>
            <w:vAlign w:val="center"/>
          </w:tcPr>
          <w:p w14:paraId="40687B37"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1:42</w:t>
            </w:r>
          </w:p>
        </w:tc>
      </w:tr>
      <w:tr w:rsidR="00855FA5" w:rsidRPr="00855FA5" w14:paraId="72C417A6" w14:textId="77777777" w:rsidTr="00855FA5">
        <w:trPr>
          <w:jc w:val="center"/>
        </w:trPr>
        <w:tc>
          <w:tcPr>
            <w:tcW w:w="1663" w:type="dxa"/>
            <w:vMerge/>
            <w:tcBorders>
              <w:left w:val="nil"/>
              <w:bottom w:val="single" w:sz="4" w:space="0" w:color="auto"/>
              <w:right w:val="nil"/>
            </w:tcBorders>
            <w:vAlign w:val="center"/>
          </w:tcPr>
          <w:p w14:paraId="0B036FE4"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auto"/>
              <w:left w:val="nil"/>
              <w:bottom w:val="single" w:sz="4" w:space="0" w:color="auto"/>
              <w:right w:val="nil"/>
            </w:tcBorders>
            <w:vAlign w:val="center"/>
          </w:tcPr>
          <w:p w14:paraId="1DE82BFD"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single" w:sz="4" w:space="0" w:color="auto"/>
              <w:right w:val="nil"/>
            </w:tcBorders>
            <w:vAlign w:val="center"/>
          </w:tcPr>
          <w:p w14:paraId="6EEC4F2E"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"Se requieren inversiones en redes para que las renovables tengan impacto real en el abasto."</w:t>
            </w:r>
          </w:p>
        </w:tc>
        <w:tc>
          <w:tcPr>
            <w:tcW w:w="450" w:type="dxa"/>
            <w:tcBorders>
              <w:top w:val="nil"/>
              <w:left w:val="nil"/>
              <w:bottom w:val="single" w:sz="4" w:space="0" w:color="auto"/>
              <w:right w:val="nil"/>
            </w:tcBorders>
            <w:vAlign w:val="center"/>
          </w:tcPr>
          <w:p w14:paraId="7AA69733"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E2</w:t>
            </w:r>
          </w:p>
        </w:tc>
        <w:tc>
          <w:tcPr>
            <w:tcW w:w="630" w:type="dxa"/>
            <w:tcBorders>
              <w:top w:val="nil"/>
              <w:left w:val="nil"/>
              <w:bottom w:val="single" w:sz="4" w:space="0" w:color="auto"/>
              <w:right w:val="nil"/>
            </w:tcBorders>
            <w:vAlign w:val="center"/>
          </w:tcPr>
          <w:p w14:paraId="64036EF2"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1:11</w:t>
            </w:r>
          </w:p>
        </w:tc>
      </w:tr>
      <w:tr w:rsidR="00855FA5" w:rsidRPr="00855FA5" w14:paraId="4DC37CDD" w14:textId="77777777" w:rsidTr="00855FA5">
        <w:trPr>
          <w:jc w:val="center"/>
        </w:trPr>
        <w:tc>
          <w:tcPr>
            <w:tcW w:w="1663" w:type="dxa"/>
            <w:vMerge w:val="restart"/>
            <w:tcBorders>
              <w:top w:val="single" w:sz="4" w:space="0" w:color="auto"/>
              <w:left w:val="nil"/>
              <w:bottom w:val="nil"/>
              <w:right w:val="nil"/>
            </w:tcBorders>
            <w:vAlign w:val="center"/>
          </w:tcPr>
          <w:p w14:paraId="67CC1E0F"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Inclusión del almacenamiento como soporte a la competitividad</w:t>
            </w:r>
          </w:p>
        </w:tc>
        <w:tc>
          <w:tcPr>
            <w:tcW w:w="1847" w:type="dxa"/>
            <w:vMerge w:val="restart"/>
            <w:tcBorders>
              <w:top w:val="single" w:sz="4" w:space="0" w:color="auto"/>
              <w:left w:val="nil"/>
              <w:bottom w:val="nil"/>
              <w:right w:val="nil"/>
            </w:tcBorders>
            <w:vAlign w:val="center"/>
          </w:tcPr>
          <w:p w14:paraId="1CAA0EE0"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Consideran que el almacenamiento debe dejar de verse como accesorio y formar parte estructural del sistema competitivo.</w:t>
            </w:r>
          </w:p>
        </w:tc>
        <w:tc>
          <w:tcPr>
            <w:tcW w:w="4410" w:type="dxa"/>
            <w:tcBorders>
              <w:top w:val="single" w:sz="4" w:space="0" w:color="auto"/>
              <w:left w:val="nil"/>
              <w:bottom w:val="nil"/>
              <w:right w:val="nil"/>
            </w:tcBorders>
            <w:vAlign w:val="center"/>
          </w:tcPr>
          <w:p w14:paraId="430970A8"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"Una política de almacenamiento ayudaría bastante."</w:t>
            </w:r>
          </w:p>
        </w:tc>
        <w:tc>
          <w:tcPr>
            <w:tcW w:w="450" w:type="dxa"/>
            <w:tcBorders>
              <w:top w:val="single" w:sz="4" w:space="0" w:color="auto"/>
              <w:left w:val="nil"/>
              <w:bottom w:val="nil"/>
              <w:right w:val="nil"/>
            </w:tcBorders>
            <w:vAlign w:val="center"/>
          </w:tcPr>
          <w:p w14:paraId="5C33A93B"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E6</w:t>
            </w:r>
          </w:p>
        </w:tc>
        <w:tc>
          <w:tcPr>
            <w:tcW w:w="630" w:type="dxa"/>
            <w:tcBorders>
              <w:top w:val="single" w:sz="4" w:space="0" w:color="auto"/>
              <w:left w:val="nil"/>
              <w:bottom w:val="nil"/>
              <w:right w:val="nil"/>
            </w:tcBorders>
            <w:vAlign w:val="center"/>
          </w:tcPr>
          <w:p w14:paraId="44F03239"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1:13</w:t>
            </w:r>
          </w:p>
        </w:tc>
      </w:tr>
      <w:tr w:rsidR="00855FA5" w:rsidRPr="00855FA5" w14:paraId="4F588F77" w14:textId="77777777" w:rsidTr="00855FA5">
        <w:trPr>
          <w:jc w:val="center"/>
        </w:trPr>
        <w:tc>
          <w:tcPr>
            <w:tcW w:w="1663" w:type="dxa"/>
            <w:vMerge/>
            <w:tcBorders>
              <w:top w:val="nil"/>
              <w:left w:val="nil"/>
              <w:bottom w:val="nil"/>
              <w:right w:val="nil"/>
            </w:tcBorders>
            <w:vAlign w:val="center"/>
          </w:tcPr>
          <w:p w14:paraId="5F9A010D"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nil"/>
              <w:left w:val="nil"/>
              <w:bottom w:val="nil"/>
              <w:right w:val="nil"/>
            </w:tcBorders>
            <w:vAlign w:val="center"/>
          </w:tcPr>
          <w:p w14:paraId="3227369A"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nil"/>
              <w:right w:val="nil"/>
            </w:tcBorders>
            <w:vAlign w:val="center"/>
          </w:tcPr>
          <w:p w14:paraId="2566747C"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"Debe regularse por funcionalidad, no por modalidad, para integrarse con eficiencia al sistema."</w:t>
            </w:r>
          </w:p>
        </w:tc>
        <w:tc>
          <w:tcPr>
            <w:tcW w:w="450" w:type="dxa"/>
            <w:tcBorders>
              <w:top w:val="nil"/>
              <w:left w:val="nil"/>
              <w:bottom w:val="nil"/>
              <w:right w:val="nil"/>
            </w:tcBorders>
            <w:vAlign w:val="center"/>
          </w:tcPr>
          <w:p w14:paraId="668F77E9"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E7</w:t>
            </w:r>
          </w:p>
        </w:tc>
        <w:tc>
          <w:tcPr>
            <w:tcW w:w="630" w:type="dxa"/>
            <w:tcBorders>
              <w:top w:val="nil"/>
              <w:left w:val="nil"/>
              <w:bottom w:val="nil"/>
              <w:right w:val="nil"/>
            </w:tcBorders>
            <w:vAlign w:val="center"/>
          </w:tcPr>
          <w:p w14:paraId="28F80EB2"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1:47</w:t>
            </w:r>
          </w:p>
        </w:tc>
      </w:tr>
      <w:tr w:rsidR="00855FA5" w:rsidRPr="00855FA5" w14:paraId="5D8D85F7" w14:textId="77777777" w:rsidTr="00855FA5">
        <w:trPr>
          <w:jc w:val="center"/>
        </w:trPr>
        <w:tc>
          <w:tcPr>
            <w:tcW w:w="1663" w:type="dxa"/>
            <w:vMerge/>
            <w:tcBorders>
              <w:top w:val="nil"/>
              <w:left w:val="nil"/>
              <w:bottom w:val="single" w:sz="4" w:space="0" w:color="auto"/>
              <w:right w:val="nil"/>
            </w:tcBorders>
            <w:vAlign w:val="center"/>
          </w:tcPr>
          <w:p w14:paraId="1384A90A"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nil"/>
              <w:left w:val="nil"/>
              <w:bottom w:val="single" w:sz="4" w:space="0" w:color="auto"/>
              <w:right w:val="nil"/>
            </w:tcBorders>
            <w:vAlign w:val="center"/>
          </w:tcPr>
          <w:p w14:paraId="6355B22F"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single" w:sz="4" w:space="0" w:color="auto"/>
              <w:right w:val="nil"/>
            </w:tcBorders>
            <w:vAlign w:val="center"/>
          </w:tcPr>
          <w:p w14:paraId="69A18ED6"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"Hace falta reglamentación en almacenamiento para compensar la intermitencia renovable."</w:t>
            </w:r>
          </w:p>
        </w:tc>
        <w:tc>
          <w:tcPr>
            <w:tcW w:w="450" w:type="dxa"/>
            <w:tcBorders>
              <w:top w:val="nil"/>
              <w:left w:val="nil"/>
              <w:bottom w:val="single" w:sz="4" w:space="0" w:color="auto"/>
              <w:right w:val="nil"/>
            </w:tcBorders>
            <w:vAlign w:val="center"/>
          </w:tcPr>
          <w:p w14:paraId="75F198CE"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E8</w:t>
            </w:r>
          </w:p>
        </w:tc>
        <w:tc>
          <w:tcPr>
            <w:tcW w:w="630" w:type="dxa"/>
            <w:tcBorders>
              <w:top w:val="nil"/>
              <w:left w:val="nil"/>
              <w:bottom w:val="single" w:sz="4" w:space="0" w:color="auto"/>
              <w:right w:val="nil"/>
            </w:tcBorders>
            <w:vAlign w:val="center"/>
          </w:tcPr>
          <w:p w14:paraId="50801AB6"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1:20</w:t>
            </w:r>
          </w:p>
        </w:tc>
      </w:tr>
      <w:tr w:rsidR="00855FA5" w:rsidRPr="00855FA5" w14:paraId="78912054" w14:textId="77777777" w:rsidTr="00855FA5">
        <w:trPr>
          <w:jc w:val="center"/>
        </w:trPr>
        <w:tc>
          <w:tcPr>
            <w:tcW w:w="1663" w:type="dxa"/>
            <w:vMerge w:val="restart"/>
            <w:tcBorders>
              <w:top w:val="single" w:sz="4" w:space="0" w:color="auto"/>
              <w:left w:val="nil"/>
              <w:right w:val="nil"/>
            </w:tcBorders>
            <w:vAlign w:val="center"/>
          </w:tcPr>
          <w:p w14:paraId="19594A5F"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Fortalecimiento de la industria nacional para mejorar la competitividad</w:t>
            </w:r>
          </w:p>
        </w:tc>
        <w:tc>
          <w:tcPr>
            <w:tcW w:w="1847" w:type="dxa"/>
            <w:vMerge w:val="restart"/>
            <w:tcBorders>
              <w:top w:val="single" w:sz="4" w:space="0" w:color="auto"/>
              <w:left w:val="nil"/>
              <w:bottom w:val="single" w:sz="4" w:space="0" w:color="999999"/>
              <w:right w:val="nil"/>
            </w:tcBorders>
            <w:vAlign w:val="center"/>
          </w:tcPr>
          <w:p w14:paraId="1186D8BC"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Se insiste en que, sin tecnología nacional y cadenas de valor locales, la competitividad será limitada.</w:t>
            </w:r>
          </w:p>
        </w:tc>
        <w:tc>
          <w:tcPr>
            <w:tcW w:w="4410" w:type="dxa"/>
            <w:tcBorders>
              <w:top w:val="single" w:sz="4" w:space="0" w:color="auto"/>
              <w:left w:val="nil"/>
              <w:bottom w:val="nil"/>
              <w:right w:val="nil"/>
            </w:tcBorders>
            <w:vAlign w:val="center"/>
          </w:tcPr>
          <w:p w14:paraId="7D355CF0"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"Se debe fomentar la tecnología nacional para reducir dependencia externa."</w:t>
            </w:r>
          </w:p>
        </w:tc>
        <w:tc>
          <w:tcPr>
            <w:tcW w:w="450" w:type="dxa"/>
            <w:tcBorders>
              <w:top w:val="single" w:sz="4" w:space="0" w:color="auto"/>
              <w:left w:val="nil"/>
              <w:bottom w:val="nil"/>
              <w:right w:val="nil"/>
            </w:tcBorders>
            <w:vAlign w:val="center"/>
          </w:tcPr>
          <w:p w14:paraId="033B6FAF"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E1</w:t>
            </w:r>
          </w:p>
        </w:tc>
        <w:tc>
          <w:tcPr>
            <w:tcW w:w="630" w:type="dxa"/>
            <w:tcBorders>
              <w:top w:val="single" w:sz="4" w:space="0" w:color="auto"/>
              <w:left w:val="nil"/>
              <w:bottom w:val="nil"/>
              <w:right w:val="nil"/>
            </w:tcBorders>
            <w:vAlign w:val="center"/>
          </w:tcPr>
          <w:p w14:paraId="1A382FDE"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1:8</w:t>
            </w:r>
          </w:p>
        </w:tc>
      </w:tr>
      <w:tr w:rsidR="00855FA5" w:rsidRPr="00855FA5" w14:paraId="66CC8073" w14:textId="77777777" w:rsidTr="00855FA5">
        <w:trPr>
          <w:jc w:val="center"/>
        </w:trPr>
        <w:tc>
          <w:tcPr>
            <w:tcW w:w="1663" w:type="dxa"/>
            <w:vMerge/>
            <w:tcBorders>
              <w:left w:val="nil"/>
              <w:right w:val="nil"/>
            </w:tcBorders>
            <w:vAlign w:val="center"/>
          </w:tcPr>
          <w:p w14:paraId="72922EB3"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999999"/>
              <w:left w:val="nil"/>
              <w:bottom w:val="single" w:sz="4" w:space="0" w:color="999999"/>
              <w:right w:val="nil"/>
            </w:tcBorders>
            <w:vAlign w:val="center"/>
          </w:tcPr>
          <w:p w14:paraId="6D16705A" w14:textId="77777777" w:rsidR="00855FA5" w:rsidRPr="00855FA5" w:rsidRDefault="00855FA5" w:rsidP="00855FA5">
            <w:pPr>
              <w:rPr>
                <w:rFonts w:ascii="Calibri" w:eastAsia="Calibri" w:hAnsi="Calibri" w:cs="Calibri"/>
                <w:color w:val="000000"/>
                <w:sz w:val="20"/>
                <w:szCs w:val="20"/>
                <w:lang w:val="es-MX" w:eastAsia="es-MX"/>
              </w:rPr>
            </w:pPr>
          </w:p>
        </w:tc>
        <w:tc>
          <w:tcPr>
            <w:tcW w:w="4410" w:type="dxa"/>
            <w:tcBorders>
              <w:top w:val="nil"/>
              <w:left w:val="nil"/>
              <w:bottom w:val="nil"/>
              <w:right w:val="nil"/>
            </w:tcBorders>
            <w:vAlign w:val="center"/>
          </w:tcPr>
          <w:p w14:paraId="10E1191F" w14:textId="77777777" w:rsidR="00855FA5" w:rsidRPr="00855FA5" w:rsidRDefault="00855FA5" w:rsidP="00855FA5">
            <w:pPr>
              <w:spacing w:line="276" w:lineRule="auto"/>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"Mientras no se desarrolle tecnología nacional, los precios no mejorarán por competitividad del entorno."</w:t>
            </w:r>
          </w:p>
        </w:tc>
        <w:tc>
          <w:tcPr>
            <w:tcW w:w="450" w:type="dxa"/>
            <w:tcBorders>
              <w:top w:val="nil"/>
              <w:left w:val="nil"/>
              <w:bottom w:val="nil"/>
              <w:right w:val="nil"/>
            </w:tcBorders>
            <w:vAlign w:val="center"/>
          </w:tcPr>
          <w:p w14:paraId="268D6772"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E8</w:t>
            </w:r>
          </w:p>
        </w:tc>
        <w:tc>
          <w:tcPr>
            <w:tcW w:w="630" w:type="dxa"/>
            <w:tcBorders>
              <w:top w:val="nil"/>
              <w:left w:val="nil"/>
              <w:bottom w:val="nil"/>
              <w:right w:val="nil"/>
            </w:tcBorders>
            <w:vAlign w:val="center"/>
          </w:tcPr>
          <w:p w14:paraId="19C64833"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1:25</w:t>
            </w:r>
          </w:p>
        </w:tc>
      </w:tr>
      <w:tr w:rsidR="00855FA5" w:rsidRPr="00855FA5" w14:paraId="0CCDD946" w14:textId="77777777" w:rsidTr="00855FA5">
        <w:trPr>
          <w:jc w:val="center"/>
        </w:trPr>
        <w:tc>
          <w:tcPr>
            <w:tcW w:w="1663" w:type="dxa"/>
            <w:vMerge/>
            <w:tcBorders>
              <w:left w:val="nil"/>
              <w:bottom w:val="single" w:sz="4" w:space="0" w:color="auto"/>
              <w:right w:val="nil"/>
            </w:tcBorders>
            <w:vAlign w:val="center"/>
          </w:tcPr>
          <w:p w14:paraId="4E68B742"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999999"/>
              <w:left w:val="nil"/>
              <w:bottom w:val="single" w:sz="4" w:space="0" w:color="auto"/>
              <w:right w:val="nil"/>
            </w:tcBorders>
            <w:vAlign w:val="center"/>
          </w:tcPr>
          <w:p w14:paraId="224B4601" w14:textId="77777777" w:rsidR="00855FA5" w:rsidRPr="00855FA5" w:rsidRDefault="00855FA5" w:rsidP="00855FA5">
            <w:pPr>
              <w:jc w:val="both"/>
              <w:rPr>
                <w:rFonts w:ascii="Calibri" w:eastAsia="Calibri" w:hAnsi="Calibri" w:cs="Calibri"/>
                <w:color w:val="000000"/>
                <w:sz w:val="20"/>
                <w:szCs w:val="20"/>
                <w:lang w:val="es-MX" w:eastAsia="es-MX"/>
              </w:rPr>
            </w:pPr>
          </w:p>
        </w:tc>
        <w:tc>
          <w:tcPr>
            <w:tcW w:w="4410" w:type="dxa"/>
            <w:tcBorders>
              <w:top w:val="nil"/>
              <w:left w:val="nil"/>
              <w:bottom w:val="single" w:sz="4" w:space="0" w:color="auto"/>
              <w:right w:val="nil"/>
            </w:tcBorders>
            <w:vAlign w:val="center"/>
          </w:tcPr>
          <w:p w14:paraId="3CC964D6" w14:textId="77777777" w:rsidR="00855FA5" w:rsidRPr="00855FA5" w:rsidRDefault="00855FA5" w:rsidP="00855FA5">
            <w:pPr>
              <w:spacing w:line="276" w:lineRule="auto"/>
              <w:jc w:val="both"/>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"Es clave apoyar la proveeduría nacional en almacenamiento y electrónica de potencia."</w:t>
            </w:r>
          </w:p>
        </w:tc>
        <w:tc>
          <w:tcPr>
            <w:tcW w:w="450" w:type="dxa"/>
            <w:tcBorders>
              <w:top w:val="nil"/>
              <w:left w:val="nil"/>
              <w:bottom w:val="single" w:sz="4" w:space="0" w:color="auto"/>
              <w:right w:val="nil"/>
            </w:tcBorders>
            <w:vAlign w:val="center"/>
          </w:tcPr>
          <w:p w14:paraId="152E42BB"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E6</w:t>
            </w:r>
          </w:p>
        </w:tc>
        <w:tc>
          <w:tcPr>
            <w:tcW w:w="630" w:type="dxa"/>
            <w:tcBorders>
              <w:top w:val="nil"/>
              <w:left w:val="nil"/>
              <w:bottom w:val="single" w:sz="4" w:space="0" w:color="auto"/>
              <w:right w:val="nil"/>
            </w:tcBorders>
            <w:vAlign w:val="center"/>
          </w:tcPr>
          <w:p w14:paraId="2AC2C35F"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1:9</w:t>
            </w:r>
          </w:p>
        </w:tc>
      </w:tr>
      <w:tr w:rsidR="00855FA5" w:rsidRPr="00855FA5" w14:paraId="6AD12CA3" w14:textId="77777777" w:rsidTr="00855FA5">
        <w:trPr>
          <w:jc w:val="center"/>
        </w:trPr>
        <w:tc>
          <w:tcPr>
            <w:tcW w:w="1663" w:type="dxa"/>
            <w:vMerge w:val="restart"/>
            <w:tcBorders>
              <w:top w:val="single" w:sz="4" w:space="0" w:color="auto"/>
              <w:left w:val="nil"/>
              <w:right w:val="nil"/>
            </w:tcBorders>
            <w:vAlign w:val="center"/>
          </w:tcPr>
          <w:p w14:paraId="50150A07"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Evaluación del costo de la energía con enfoque integral</w:t>
            </w:r>
          </w:p>
        </w:tc>
        <w:tc>
          <w:tcPr>
            <w:tcW w:w="1847" w:type="dxa"/>
            <w:vMerge w:val="restart"/>
            <w:tcBorders>
              <w:top w:val="single" w:sz="4" w:space="0" w:color="auto"/>
              <w:left w:val="nil"/>
              <w:bottom w:val="single" w:sz="4" w:space="0" w:color="999999"/>
              <w:right w:val="nil"/>
            </w:tcBorders>
            <w:vAlign w:val="center"/>
          </w:tcPr>
          <w:p w14:paraId="522E7FD7" w14:textId="77777777" w:rsidR="00855FA5" w:rsidRPr="00855FA5" w:rsidRDefault="00855FA5" w:rsidP="00855FA5">
            <w:pP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El costo de la energía debe evaluarse incluyendo factores de impacto ambiental, confiabilidad y eficiencia.</w:t>
            </w:r>
          </w:p>
        </w:tc>
        <w:tc>
          <w:tcPr>
            <w:tcW w:w="4410" w:type="dxa"/>
            <w:tcBorders>
              <w:top w:val="single" w:sz="4" w:space="0" w:color="auto"/>
              <w:left w:val="nil"/>
              <w:bottom w:val="nil"/>
              <w:right w:val="nil"/>
            </w:tcBorders>
            <w:vAlign w:val="center"/>
          </w:tcPr>
          <w:p w14:paraId="5CEB3804" w14:textId="77777777" w:rsidR="00855FA5" w:rsidRPr="00855FA5" w:rsidRDefault="00855FA5" w:rsidP="00855FA5">
            <w:pPr>
              <w:spacing w:line="276" w:lineRule="auto"/>
              <w:jc w:val="both"/>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"El costo de la energía debe incluir su impacto ambiental para evaluar su competitividad."</w:t>
            </w:r>
          </w:p>
        </w:tc>
        <w:tc>
          <w:tcPr>
            <w:tcW w:w="450" w:type="dxa"/>
            <w:tcBorders>
              <w:top w:val="single" w:sz="4" w:space="0" w:color="auto"/>
              <w:left w:val="nil"/>
              <w:bottom w:val="nil"/>
              <w:right w:val="nil"/>
            </w:tcBorders>
            <w:vAlign w:val="center"/>
          </w:tcPr>
          <w:p w14:paraId="46D0D449"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E7</w:t>
            </w:r>
          </w:p>
        </w:tc>
        <w:tc>
          <w:tcPr>
            <w:tcW w:w="630" w:type="dxa"/>
            <w:tcBorders>
              <w:top w:val="single" w:sz="4" w:space="0" w:color="auto"/>
              <w:left w:val="nil"/>
              <w:bottom w:val="nil"/>
              <w:right w:val="nil"/>
            </w:tcBorders>
            <w:vAlign w:val="center"/>
          </w:tcPr>
          <w:p w14:paraId="546CBE66"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1:37</w:t>
            </w:r>
          </w:p>
        </w:tc>
      </w:tr>
      <w:tr w:rsidR="00855FA5" w:rsidRPr="00855FA5" w14:paraId="53CCEE89" w14:textId="77777777" w:rsidTr="00855FA5">
        <w:trPr>
          <w:jc w:val="center"/>
        </w:trPr>
        <w:tc>
          <w:tcPr>
            <w:tcW w:w="1663" w:type="dxa"/>
            <w:vMerge/>
            <w:tcBorders>
              <w:left w:val="nil"/>
              <w:right w:val="nil"/>
            </w:tcBorders>
            <w:vAlign w:val="center"/>
          </w:tcPr>
          <w:p w14:paraId="75AA6465"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999999"/>
              <w:left w:val="nil"/>
              <w:bottom w:val="single" w:sz="4" w:space="0" w:color="999999"/>
              <w:right w:val="nil"/>
            </w:tcBorders>
            <w:vAlign w:val="center"/>
          </w:tcPr>
          <w:p w14:paraId="24DA6836" w14:textId="77777777" w:rsidR="00855FA5" w:rsidRPr="00855FA5" w:rsidRDefault="00855FA5" w:rsidP="00855FA5">
            <w:pPr>
              <w:jc w:val="both"/>
              <w:rPr>
                <w:rFonts w:ascii="Calibri" w:eastAsia="Calibri" w:hAnsi="Calibri" w:cs="Calibri"/>
                <w:color w:val="000000"/>
                <w:sz w:val="20"/>
                <w:szCs w:val="20"/>
                <w:lang w:val="es-MX" w:eastAsia="es-MX"/>
              </w:rPr>
            </w:pPr>
          </w:p>
        </w:tc>
        <w:tc>
          <w:tcPr>
            <w:tcW w:w="4410" w:type="dxa"/>
            <w:tcBorders>
              <w:top w:val="nil"/>
              <w:left w:val="nil"/>
              <w:bottom w:val="nil"/>
              <w:right w:val="nil"/>
            </w:tcBorders>
            <w:vAlign w:val="center"/>
          </w:tcPr>
          <w:p w14:paraId="69DC9A49" w14:textId="77777777" w:rsidR="00855FA5" w:rsidRPr="00855FA5" w:rsidRDefault="00855FA5" w:rsidP="00855FA5">
            <w:pPr>
              <w:spacing w:line="276" w:lineRule="auto"/>
              <w:jc w:val="both"/>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"El costo al usuario final impacta directamente el precio de alimentos y la canasta básica."</w:t>
            </w:r>
          </w:p>
        </w:tc>
        <w:tc>
          <w:tcPr>
            <w:tcW w:w="450" w:type="dxa"/>
            <w:tcBorders>
              <w:top w:val="nil"/>
              <w:left w:val="nil"/>
              <w:bottom w:val="nil"/>
              <w:right w:val="nil"/>
            </w:tcBorders>
            <w:vAlign w:val="center"/>
          </w:tcPr>
          <w:p w14:paraId="4F17C4FA"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E8</w:t>
            </w:r>
          </w:p>
        </w:tc>
        <w:tc>
          <w:tcPr>
            <w:tcW w:w="630" w:type="dxa"/>
            <w:tcBorders>
              <w:top w:val="nil"/>
              <w:left w:val="nil"/>
              <w:bottom w:val="nil"/>
              <w:right w:val="nil"/>
            </w:tcBorders>
            <w:vAlign w:val="center"/>
          </w:tcPr>
          <w:p w14:paraId="5DEC7838"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1:23</w:t>
            </w:r>
          </w:p>
        </w:tc>
      </w:tr>
      <w:tr w:rsidR="00855FA5" w:rsidRPr="00855FA5" w14:paraId="4B3B752E" w14:textId="77777777" w:rsidTr="00855FA5">
        <w:trPr>
          <w:jc w:val="center"/>
        </w:trPr>
        <w:tc>
          <w:tcPr>
            <w:tcW w:w="1663" w:type="dxa"/>
            <w:vMerge/>
            <w:tcBorders>
              <w:left w:val="nil"/>
              <w:bottom w:val="single" w:sz="4" w:space="0" w:color="auto"/>
              <w:right w:val="nil"/>
            </w:tcBorders>
            <w:vAlign w:val="center"/>
          </w:tcPr>
          <w:p w14:paraId="77E7D0B6" w14:textId="77777777" w:rsidR="00855FA5" w:rsidRPr="00855FA5" w:rsidRDefault="00855FA5" w:rsidP="00855FA5">
            <w:pPr>
              <w:jc w:val="both"/>
              <w:rPr>
                <w:rFonts w:ascii="Calibri" w:eastAsia="Calibri" w:hAnsi="Calibri" w:cs="Calibri"/>
                <w:b/>
                <w:bCs/>
                <w:color w:val="000000"/>
                <w:sz w:val="20"/>
                <w:szCs w:val="20"/>
                <w:lang w:val="es-MX" w:eastAsia="es-MX"/>
              </w:rPr>
            </w:pPr>
          </w:p>
        </w:tc>
        <w:tc>
          <w:tcPr>
            <w:tcW w:w="1847" w:type="dxa"/>
            <w:vMerge/>
            <w:tcBorders>
              <w:top w:val="single" w:sz="4" w:space="0" w:color="999999"/>
              <w:left w:val="nil"/>
              <w:bottom w:val="single" w:sz="4" w:space="0" w:color="auto"/>
              <w:right w:val="nil"/>
            </w:tcBorders>
            <w:vAlign w:val="center"/>
          </w:tcPr>
          <w:p w14:paraId="133ED93F" w14:textId="77777777" w:rsidR="00855FA5" w:rsidRPr="00855FA5" w:rsidRDefault="00855FA5" w:rsidP="00855FA5">
            <w:pPr>
              <w:jc w:val="both"/>
              <w:rPr>
                <w:rFonts w:ascii="Calibri" w:eastAsia="Calibri" w:hAnsi="Calibri" w:cs="Calibri"/>
                <w:color w:val="000000"/>
                <w:sz w:val="20"/>
                <w:szCs w:val="20"/>
                <w:lang w:val="es-MX" w:eastAsia="es-MX"/>
              </w:rPr>
            </w:pPr>
          </w:p>
        </w:tc>
        <w:tc>
          <w:tcPr>
            <w:tcW w:w="4410" w:type="dxa"/>
            <w:tcBorders>
              <w:top w:val="nil"/>
              <w:left w:val="nil"/>
              <w:bottom w:val="single" w:sz="4" w:space="0" w:color="auto"/>
              <w:right w:val="nil"/>
            </w:tcBorders>
            <w:vAlign w:val="center"/>
          </w:tcPr>
          <w:p w14:paraId="6D20F491" w14:textId="77777777" w:rsidR="00855FA5" w:rsidRPr="00855FA5" w:rsidRDefault="00855FA5" w:rsidP="00855FA5">
            <w:pPr>
              <w:spacing w:line="276" w:lineRule="auto"/>
              <w:jc w:val="both"/>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"Debe evaluarse el costo real considerando también los efectos sociales de la generación convencional."</w:t>
            </w:r>
          </w:p>
        </w:tc>
        <w:tc>
          <w:tcPr>
            <w:tcW w:w="450" w:type="dxa"/>
            <w:tcBorders>
              <w:top w:val="nil"/>
              <w:left w:val="nil"/>
              <w:bottom w:val="single" w:sz="4" w:space="0" w:color="auto"/>
              <w:right w:val="nil"/>
            </w:tcBorders>
            <w:vAlign w:val="center"/>
          </w:tcPr>
          <w:p w14:paraId="24533EBC"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E3</w:t>
            </w:r>
          </w:p>
        </w:tc>
        <w:tc>
          <w:tcPr>
            <w:tcW w:w="630" w:type="dxa"/>
            <w:tcBorders>
              <w:top w:val="nil"/>
              <w:left w:val="nil"/>
              <w:bottom w:val="single" w:sz="4" w:space="0" w:color="auto"/>
              <w:right w:val="nil"/>
            </w:tcBorders>
            <w:vAlign w:val="center"/>
          </w:tcPr>
          <w:p w14:paraId="289A870B" w14:textId="77777777"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color w:val="000000"/>
                <w:sz w:val="20"/>
                <w:szCs w:val="20"/>
                <w:lang w:val="es-MX" w:eastAsia="es-MX"/>
              </w:rPr>
              <w:t>1:24</w:t>
            </w:r>
          </w:p>
        </w:tc>
      </w:tr>
    </w:tbl>
    <w:p w14:paraId="2335551E" w14:textId="77777777" w:rsidR="00855FA5" w:rsidRPr="00855FA5" w:rsidRDefault="00855FA5" w:rsidP="00855FA5">
      <w:pPr>
        <w:rPr>
          <w:rFonts w:ascii="Calibri" w:eastAsia="Calibri" w:hAnsi="Calibri" w:cs="Calibri"/>
          <w:b/>
          <w:bCs/>
          <w:i/>
          <w:iCs/>
          <w:color w:val="000000"/>
          <w:sz w:val="20"/>
          <w:szCs w:val="20"/>
          <w:lang w:val="pt-BR" w:eastAsia="es-MX"/>
        </w:rPr>
      </w:pPr>
    </w:p>
    <w:p w14:paraId="71AB6A66" w14:textId="581DD1B3" w:rsidR="00855FA5" w:rsidRPr="00855FA5" w:rsidRDefault="00855FA5" w:rsidP="00855FA5">
      <w:pPr>
        <w:jc w:val="center"/>
        <w:rPr>
          <w:rFonts w:ascii="Calibri" w:eastAsia="Calibri" w:hAnsi="Calibri" w:cs="Calibri"/>
          <w:color w:val="000000"/>
          <w:sz w:val="20"/>
          <w:szCs w:val="20"/>
          <w:lang w:val="pt-BR" w:eastAsia="es-MX"/>
        </w:rPr>
      </w:pPr>
      <w:r w:rsidRPr="00855FA5">
        <w:rPr>
          <w:rFonts w:ascii="Calibri" w:eastAsia="Calibri" w:hAnsi="Calibri" w:cs="Calibri"/>
          <w:b/>
          <w:bCs/>
          <w:i/>
          <w:iCs/>
          <w:color w:val="000000"/>
          <w:sz w:val="20"/>
          <w:szCs w:val="20"/>
          <w:lang w:val="pt-BR" w:eastAsia="es-MX"/>
        </w:rPr>
        <w:t>Nota:</w:t>
      </w:r>
      <w:r w:rsidRPr="00855FA5">
        <w:rPr>
          <w:rFonts w:ascii="Calibri" w:eastAsia="Calibri" w:hAnsi="Calibri" w:cs="Calibri"/>
          <w:color w:val="000000"/>
          <w:sz w:val="20"/>
          <w:szCs w:val="20"/>
          <w:lang w:val="pt-BR" w:eastAsia="es-MX"/>
        </w:rPr>
        <w:t xml:space="preserve"> </w:t>
      </w:r>
      <w:r w:rsidRPr="00855FA5">
        <w:rPr>
          <w:rFonts w:ascii="Calibri" w:eastAsia="Calibri" w:hAnsi="Calibri" w:cs="Calibri"/>
          <w:i/>
          <w:iCs/>
          <w:color w:val="000000"/>
          <w:sz w:val="20"/>
          <w:szCs w:val="20"/>
          <w:lang w:val="pt-BR" w:eastAsia="es-MX"/>
        </w:rPr>
        <w:t>E:</w:t>
      </w:r>
      <w:r w:rsidRPr="00855FA5">
        <w:rPr>
          <w:rFonts w:ascii="Calibri" w:eastAsia="Calibri" w:hAnsi="Calibri" w:cs="Calibri"/>
          <w:color w:val="000000"/>
          <w:sz w:val="20"/>
          <w:szCs w:val="20"/>
          <w:lang w:val="pt-BR" w:eastAsia="es-MX"/>
        </w:rPr>
        <w:t xml:space="preserve"> Entrevistado, </w:t>
      </w:r>
      <w:proofErr w:type="spellStart"/>
      <w:r w:rsidRPr="00855FA5">
        <w:rPr>
          <w:rFonts w:ascii="Calibri" w:eastAsia="Calibri" w:hAnsi="Calibri" w:cs="Calibri"/>
          <w:i/>
          <w:iCs/>
          <w:color w:val="000000"/>
          <w:sz w:val="20"/>
          <w:szCs w:val="20"/>
          <w:lang w:val="pt-BR" w:eastAsia="es-MX"/>
        </w:rPr>
        <w:t>Ref</w:t>
      </w:r>
      <w:proofErr w:type="spellEnd"/>
      <w:r w:rsidRPr="00855FA5">
        <w:rPr>
          <w:rFonts w:ascii="Calibri" w:eastAsia="Calibri" w:hAnsi="Calibri" w:cs="Calibri"/>
          <w:i/>
          <w:iCs/>
          <w:color w:val="000000"/>
          <w:sz w:val="20"/>
          <w:szCs w:val="20"/>
          <w:lang w:val="pt-BR" w:eastAsia="es-MX"/>
        </w:rPr>
        <w:t>:</w:t>
      </w:r>
      <w:r w:rsidRPr="00855FA5">
        <w:rPr>
          <w:rFonts w:ascii="Calibri" w:eastAsia="Calibri" w:hAnsi="Calibri" w:cs="Calibri"/>
          <w:color w:val="000000"/>
          <w:sz w:val="20"/>
          <w:szCs w:val="20"/>
          <w:lang w:val="pt-BR" w:eastAsia="es-MX"/>
        </w:rPr>
        <w:t xml:space="preserve"> </w:t>
      </w:r>
      <w:proofErr w:type="gramStart"/>
      <w:r w:rsidRPr="00855FA5">
        <w:rPr>
          <w:rFonts w:ascii="Calibri" w:eastAsia="Calibri" w:hAnsi="Calibri" w:cs="Calibri"/>
          <w:color w:val="000000"/>
          <w:sz w:val="20"/>
          <w:szCs w:val="20"/>
          <w:lang w:val="pt-BR" w:eastAsia="es-MX"/>
        </w:rPr>
        <w:t>Referencia</w:t>
      </w:r>
      <w:proofErr w:type="gramEnd"/>
      <w:r w:rsidRPr="00855FA5">
        <w:rPr>
          <w:rFonts w:ascii="Calibri" w:eastAsia="Calibri" w:hAnsi="Calibri" w:cs="Calibri"/>
          <w:color w:val="000000"/>
          <w:sz w:val="20"/>
          <w:szCs w:val="20"/>
          <w:lang w:val="pt-BR" w:eastAsia="es-MX"/>
        </w:rPr>
        <w:t xml:space="preserve"> temporal.</w:t>
      </w:r>
    </w:p>
    <w:p w14:paraId="430B4ACA" w14:textId="33951951" w:rsidR="00855FA5" w:rsidRPr="00855FA5" w:rsidRDefault="00855FA5" w:rsidP="00855FA5">
      <w:pPr>
        <w:jc w:val="center"/>
        <w:rPr>
          <w:rFonts w:ascii="Calibri" w:eastAsia="Calibri" w:hAnsi="Calibri" w:cs="Calibri"/>
          <w:color w:val="000000"/>
          <w:sz w:val="20"/>
          <w:szCs w:val="20"/>
          <w:lang w:val="es-US" w:eastAsia="es-MX"/>
        </w:rPr>
      </w:pPr>
      <w:r w:rsidRPr="00855FA5">
        <w:rPr>
          <w:rFonts w:ascii="Calibri" w:eastAsia="Calibri" w:hAnsi="Calibri" w:cs="Calibri"/>
          <w:b/>
          <w:bCs/>
          <w:color w:val="000000"/>
          <w:sz w:val="20"/>
          <w:szCs w:val="20"/>
          <w:lang w:val="es-US" w:eastAsia="es-MX"/>
        </w:rPr>
        <w:t>Fuente</w:t>
      </w:r>
      <w:r w:rsidRPr="00855FA5">
        <w:rPr>
          <w:rFonts w:ascii="Calibri" w:eastAsia="Calibri" w:hAnsi="Calibri" w:cs="Calibri"/>
          <w:b/>
          <w:bCs/>
          <w:i/>
          <w:iCs/>
          <w:color w:val="000000"/>
          <w:sz w:val="20"/>
          <w:szCs w:val="20"/>
          <w:lang w:val="es-US" w:eastAsia="es-MX"/>
        </w:rPr>
        <w:t>:</w:t>
      </w:r>
      <w:r w:rsidRPr="00855FA5">
        <w:rPr>
          <w:rFonts w:ascii="Calibri" w:eastAsia="Calibri" w:hAnsi="Calibri" w:cs="Calibri"/>
          <w:color w:val="000000"/>
          <w:sz w:val="20"/>
          <w:szCs w:val="20"/>
          <w:lang w:val="es-US" w:eastAsia="es-MX"/>
        </w:rPr>
        <w:t xml:space="preserve"> </w:t>
      </w:r>
      <w:r w:rsidRPr="00855FA5">
        <w:rPr>
          <w:rFonts w:ascii="Calibri" w:eastAsia="Calibri" w:hAnsi="Calibri" w:cs="Calibri"/>
          <w:i/>
          <w:iCs/>
          <w:color w:val="000000"/>
          <w:sz w:val="20"/>
          <w:szCs w:val="20"/>
          <w:lang w:val="es-US" w:eastAsia="es-MX"/>
        </w:rPr>
        <w:t>Elaborad</w:t>
      </w:r>
      <w:r>
        <w:rPr>
          <w:rFonts w:ascii="Calibri" w:eastAsia="Calibri" w:hAnsi="Calibri" w:cs="Calibri"/>
          <w:i/>
          <w:iCs/>
          <w:color w:val="000000"/>
          <w:sz w:val="20"/>
          <w:szCs w:val="20"/>
          <w:lang w:val="es-US" w:eastAsia="es-MX"/>
        </w:rPr>
        <w:t>a</w:t>
      </w:r>
      <w:r w:rsidRPr="00855FA5">
        <w:rPr>
          <w:rFonts w:ascii="Calibri" w:eastAsia="Calibri" w:hAnsi="Calibri" w:cs="Calibri"/>
          <w:i/>
          <w:iCs/>
          <w:color w:val="000000"/>
          <w:sz w:val="20"/>
          <w:szCs w:val="20"/>
          <w:lang w:val="es-US" w:eastAsia="es-MX"/>
        </w:rPr>
        <w:t xml:space="preserve"> por los autores</w:t>
      </w:r>
      <w:r w:rsidRPr="00855FA5">
        <w:rPr>
          <w:rFonts w:ascii="Calibri" w:eastAsia="Calibri" w:hAnsi="Calibri" w:cs="Calibri"/>
          <w:color w:val="000000"/>
          <w:sz w:val="20"/>
          <w:szCs w:val="20"/>
          <w:lang w:val="es-US" w:eastAsia="es-MX"/>
        </w:rPr>
        <w:t>.</w:t>
      </w:r>
    </w:p>
    <w:p w14:paraId="2341027F" w14:textId="77777777" w:rsidR="00855FA5" w:rsidRPr="00855FA5" w:rsidRDefault="00855FA5" w:rsidP="00855FA5">
      <w:pPr>
        <w:ind w:left="90"/>
        <w:jc w:val="both"/>
        <w:rPr>
          <w:rFonts w:ascii="Calibri" w:eastAsia="Calibri" w:hAnsi="Calibri" w:cs="Calibri"/>
          <w:color w:val="000000"/>
          <w:sz w:val="24"/>
          <w:szCs w:val="24"/>
          <w:lang w:val="es-US" w:eastAsia="es-MX"/>
        </w:rPr>
      </w:pPr>
    </w:p>
    <w:p w14:paraId="1009972F"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Asimismo, se plantea la necesidad de evaluar el costo de la energía desde un enfoque integral, que incorpore no solo el componente económico. Sin embargo, la noción de competitividad dentro del SEN no es uniforme, varía entre los entrevistados y en los documentos analizados. Por una parte, se argumenta que el sistema debe reflejar los costos reales en todas sus etapas, desde la generación hasta el respaldo y los servicios auxiliares. Además, se enfatiza que la reducción de tarifas no debe comprometer la confiabilidad, lo que evidencia una tensión estructural persistente entre accesibilidad económica y seguridad operativa, es decir que, la confiabilidad tiene un costo. En este sentido, las distintas perspectivas coinciden en un punto fundamental: la competitividad energética no puede limitarse únicamente al precio pagado por el usuario final, sino que debe entenderse como una cualidad compleja que integra múltiples factores técnicos, económicos y sociales.</w:t>
      </w:r>
    </w:p>
    <w:p w14:paraId="5AF99FC5" w14:textId="77777777" w:rsidR="00855FA5" w:rsidRPr="00855FA5" w:rsidRDefault="00855FA5" w:rsidP="00855FA5">
      <w:pPr>
        <w:ind w:left="90"/>
        <w:jc w:val="both"/>
        <w:rPr>
          <w:rFonts w:ascii="Calibri" w:eastAsia="Calibri" w:hAnsi="Calibri" w:cs="Calibri"/>
          <w:color w:val="000000"/>
          <w:sz w:val="22"/>
          <w:lang w:val="es-MX" w:eastAsia="es-MX"/>
        </w:rPr>
      </w:pPr>
    </w:p>
    <w:p w14:paraId="35731D29"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 xml:space="preserve">Comprender la competitividad en su complejidad impulsa una reflexión necesaria sobre cómo la política energética y la regulación crean las condiciones para hacerla viable. En el marco del debate epistemológico, se identifica que el marco normativo es el que crea las condiciones propicias para que la competitividad emerja y se sostenga. Desde esta perspectiva, surgieron cuestionamientos como ¿qué sucede cuando un incentivo se convierte en refugio más que en impulso? Como advierte la literatura, incentivos o políticas mal diseñadas pueden generar </w:t>
      </w:r>
      <w:proofErr w:type="spellStart"/>
      <w:r w:rsidRPr="00855FA5">
        <w:rPr>
          <w:rFonts w:ascii="Calibri" w:eastAsia="Calibri" w:hAnsi="Calibri" w:cs="Calibri"/>
          <w:i/>
          <w:iCs/>
          <w:color w:val="000000"/>
          <w:sz w:val="22"/>
          <w:lang w:val="es-MX" w:eastAsia="es-MX"/>
        </w:rPr>
        <w:t>lock-ins</w:t>
      </w:r>
      <w:proofErr w:type="spellEnd"/>
      <w:r w:rsidRPr="00855FA5">
        <w:rPr>
          <w:rFonts w:ascii="Calibri" w:eastAsia="Calibri" w:hAnsi="Calibri" w:cs="Calibri"/>
          <w:color w:val="000000"/>
          <w:sz w:val="22"/>
          <w:lang w:val="es-MX" w:eastAsia="es-MX"/>
        </w:rPr>
        <w:t xml:space="preserve"> que fijan trayectorias tecnológicas, inhiben la innovación y distorsionan los mercados, lo que puede limitar su propio desarrollo y su capacidad adaptativa (Eitan y Hekkert, 2023). En el caso mexicano, los incentivos no han seguido criterios de madurez tecnológica ni evaluación de desempeño, lo que ha favorecido tecnologías inmaduras o no competitivas. </w:t>
      </w:r>
      <w:r w:rsidRPr="00855FA5">
        <w:rPr>
          <w:rFonts w:ascii="Calibri" w:eastAsia="Calibri" w:hAnsi="Calibri" w:cs="Calibri"/>
          <w:i/>
          <w:iCs/>
          <w:color w:val="000000"/>
          <w:sz w:val="22"/>
          <w:lang w:val="es-MX" w:eastAsia="es-MX"/>
        </w:rPr>
        <w:t>¿Qué condiciones deben cumplirse para que un incentivo promueva innovación real?</w:t>
      </w:r>
      <w:r w:rsidRPr="00855FA5">
        <w:rPr>
          <w:rFonts w:ascii="Calibri" w:eastAsia="Calibri" w:hAnsi="Calibri" w:cs="Calibri"/>
          <w:color w:val="000000"/>
          <w:sz w:val="22"/>
          <w:lang w:val="es-MX" w:eastAsia="es-MX"/>
        </w:rPr>
        <w:t xml:space="preserve"> La respuesta no está en la cantidad del apoyo, sino en su diseño estratégico, con mecanismos de revisión periódica, enfoque correctivo de fallas de mercado y articulación con objetivos ambientales y sociales.</w:t>
      </w:r>
    </w:p>
    <w:p w14:paraId="1C328A82" w14:textId="77777777" w:rsidR="00855FA5" w:rsidRPr="00855FA5" w:rsidRDefault="00855FA5" w:rsidP="00855FA5">
      <w:pPr>
        <w:ind w:left="90"/>
        <w:jc w:val="both"/>
        <w:rPr>
          <w:rFonts w:ascii="Calibri" w:eastAsia="Calibri" w:hAnsi="Calibri" w:cs="Calibri"/>
          <w:color w:val="000000"/>
          <w:sz w:val="22"/>
          <w:lang w:val="es-MX" w:eastAsia="es-MX"/>
        </w:rPr>
      </w:pPr>
    </w:p>
    <w:p w14:paraId="59F8642F"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 xml:space="preserve">En la </w:t>
      </w:r>
      <w:r w:rsidRPr="00855FA5">
        <w:rPr>
          <w:rFonts w:ascii="Calibri" w:eastAsia="Calibri" w:hAnsi="Calibri" w:cs="Calibri"/>
          <w:i/>
          <w:iCs/>
          <w:color w:val="000000"/>
          <w:sz w:val="22"/>
          <w:lang w:val="es-MX" w:eastAsia="es-MX"/>
        </w:rPr>
        <w:t>figura 3</w:t>
      </w:r>
      <w:r w:rsidRPr="00855FA5">
        <w:rPr>
          <w:rFonts w:ascii="Calibri" w:eastAsia="Calibri" w:hAnsi="Calibri" w:cs="Calibri"/>
          <w:color w:val="000000"/>
          <w:sz w:val="22"/>
          <w:lang w:val="es-MX" w:eastAsia="es-MX"/>
        </w:rPr>
        <w:t xml:space="preserve"> se ilustran las interacciones entre la competitividad y las otras cuatro categorías de análisis definidas en el estudio: regulación energética, tecnología, recursos naturales y prospectiva. Esta representación permite visualizar las múltiples conexiones que posicionan a la competitividad como un eje articulador y no como un atributo aislado. En el diagrama, los nodos amarillos representan hallazgos que tienen implicaciones cruzadas en más de una categoría y resaltan los elementos críticos y transversales que condicionan la viabilidad estructural de un sistema eléctrico competitivo en México.</w:t>
      </w:r>
    </w:p>
    <w:p w14:paraId="29283971" w14:textId="77777777" w:rsidR="00855FA5" w:rsidRPr="00855FA5" w:rsidRDefault="00855FA5" w:rsidP="00855FA5">
      <w:pPr>
        <w:ind w:left="90"/>
        <w:jc w:val="both"/>
        <w:rPr>
          <w:rFonts w:ascii="Calibri" w:eastAsia="Calibri" w:hAnsi="Calibri" w:cs="Calibri"/>
          <w:color w:val="000000"/>
          <w:sz w:val="24"/>
          <w:szCs w:val="24"/>
          <w:lang w:val="es-MX" w:eastAsia="es-MX"/>
        </w:rPr>
      </w:pPr>
    </w:p>
    <w:p w14:paraId="073059C7" w14:textId="77777777" w:rsidR="00855FA5" w:rsidRPr="00855FA5" w:rsidRDefault="00855FA5" w:rsidP="00855FA5">
      <w:pPr>
        <w:ind w:left="720" w:hanging="720"/>
        <w:jc w:val="center"/>
        <w:rPr>
          <w:rFonts w:ascii="Calibri" w:eastAsia="Calibri" w:hAnsi="Calibri" w:cs="Calibri"/>
          <w:i/>
          <w:iCs/>
          <w:color w:val="000000"/>
          <w:sz w:val="20"/>
          <w:szCs w:val="20"/>
          <w:lang w:val="es-MX" w:eastAsia="es-MX"/>
        </w:rPr>
      </w:pPr>
      <w:r w:rsidRPr="00855FA5">
        <w:rPr>
          <w:rFonts w:ascii="Calibri" w:eastAsia="Calibri" w:hAnsi="Calibri" w:cs="Calibri"/>
          <w:b/>
          <w:bCs/>
          <w:color w:val="000000"/>
          <w:sz w:val="20"/>
          <w:szCs w:val="20"/>
          <w:lang w:val="es-MX" w:eastAsia="es-MX"/>
        </w:rPr>
        <w:t xml:space="preserve">Figura 3. </w:t>
      </w:r>
      <w:r w:rsidRPr="00855FA5">
        <w:rPr>
          <w:rFonts w:ascii="Calibri" w:eastAsia="Calibri" w:hAnsi="Calibri" w:cs="Calibri"/>
          <w:i/>
          <w:iCs/>
          <w:color w:val="000000"/>
          <w:sz w:val="20"/>
          <w:szCs w:val="20"/>
          <w:lang w:val="es-MX" w:eastAsia="es-MX"/>
        </w:rPr>
        <w:t>Interrelaciones de la Competitividad con las categorías de análisis.</w:t>
      </w:r>
    </w:p>
    <w:p w14:paraId="64F0E3D5" w14:textId="77777777" w:rsidR="00855FA5" w:rsidRPr="00855FA5" w:rsidRDefault="00855FA5" w:rsidP="00855FA5">
      <w:pPr>
        <w:ind w:left="720" w:hanging="720"/>
        <w:jc w:val="center"/>
        <w:rPr>
          <w:rFonts w:ascii="Calibri" w:eastAsia="Calibri" w:hAnsi="Calibri" w:cs="Calibri"/>
          <w:i/>
          <w:iCs/>
          <w:color w:val="000000"/>
          <w:sz w:val="24"/>
          <w:szCs w:val="24"/>
          <w:lang w:val="es-MX" w:eastAsia="es-MX"/>
        </w:rPr>
      </w:pPr>
    </w:p>
    <w:p w14:paraId="08615998" w14:textId="77777777" w:rsidR="00855FA5" w:rsidRPr="00855FA5" w:rsidRDefault="00855FA5" w:rsidP="00855FA5">
      <w:pPr>
        <w:ind w:left="720" w:hanging="720"/>
        <w:jc w:val="center"/>
        <w:rPr>
          <w:rFonts w:ascii="Calibri" w:eastAsia="Calibri" w:hAnsi="Calibri" w:cs="Calibri"/>
          <w:i/>
          <w:iCs/>
          <w:color w:val="000000"/>
          <w:sz w:val="24"/>
          <w:szCs w:val="24"/>
          <w:lang w:val="es-MX" w:eastAsia="es-MX"/>
        </w:rPr>
      </w:pPr>
      <w:r w:rsidRPr="00855FA5">
        <w:rPr>
          <w:rFonts w:ascii="Calibri" w:eastAsia="Calibri" w:hAnsi="Calibri" w:cs="Calibri"/>
          <w:i/>
          <w:iCs/>
          <w:noProof/>
          <w:color w:val="000000"/>
          <w:sz w:val="24"/>
          <w:szCs w:val="24"/>
          <w:lang w:val="es-MX" w:eastAsia="es-MX"/>
        </w:rPr>
        <w:drawing>
          <wp:inline distT="0" distB="0" distL="0" distR="0" wp14:anchorId="7F92F379" wp14:editId="2A080980">
            <wp:extent cx="5663381" cy="3185652"/>
            <wp:effectExtent l="0" t="0" r="0" b="0"/>
            <wp:docPr id="1859737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37719" name="Imagen 18597377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9739" cy="3189229"/>
                    </a:xfrm>
                    <a:prstGeom prst="rect">
                      <a:avLst/>
                    </a:prstGeom>
                  </pic:spPr>
                </pic:pic>
              </a:graphicData>
            </a:graphic>
          </wp:inline>
        </w:drawing>
      </w:r>
    </w:p>
    <w:p w14:paraId="42283738" w14:textId="77777777" w:rsidR="00855FA5" w:rsidRDefault="00855FA5" w:rsidP="00855FA5">
      <w:pPr>
        <w:jc w:val="center"/>
        <w:rPr>
          <w:rFonts w:ascii="Calibri" w:eastAsia="Calibri" w:hAnsi="Calibri" w:cs="Calibri"/>
          <w:b/>
          <w:bCs/>
          <w:color w:val="000000"/>
          <w:sz w:val="24"/>
          <w:szCs w:val="24"/>
          <w:lang w:val="es-MX" w:eastAsia="es-MX"/>
        </w:rPr>
      </w:pPr>
    </w:p>
    <w:p w14:paraId="19B6CF53" w14:textId="29267284" w:rsidR="00855FA5" w:rsidRPr="00855FA5" w:rsidRDefault="00855FA5" w:rsidP="00855FA5">
      <w:pPr>
        <w:jc w:val="center"/>
        <w:rPr>
          <w:rFonts w:ascii="Calibri" w:eastAsia="Calibri" w:hAnsi="Calibri" w:cs="Calibri"/>
          <w:color w:val="000000"/>
          <w:sz w:val="20"/>
          <w:szCs w:val="20"/>
          <w:lang w:val="es-MX" w:eastAsia="es-MX"/>
        </w:rPr>
      </w:pPr>
      <w:r w:rsidRPr="00855FA5">
        <w:rPr>
          <w:rFonts w:ascii="Calibri" w:eastAsia="Calibri" w:hAnsi="Calibri" w:cs="Calibri"/>
          <w:b/>
          <w:bCs/>
          <w:color w:val="000000"/>
          <w:sz w:val="20"/>
          <w:szCs w:val="20"/>
          <w:lang w:val="es-MX" w:eastAsia="es-MX"/>
        </w:rPr>
        <w:t>Fuente:</w:t>
      </w:r>
      <w:r w:rsidRPr="00855FA5">
        <w:rPr>
          <w:rFonts w:ascii="Calibri" w:eastAsia="Calibri" w:hAnsi="Calibri" w:cs="Calibri"/>
          <w:color w:val="000000"/>
          <w:sz w:val="20"/>
          <w:szCs w:val="20"/>
          <w:lang w:val="es-MX" w:eastAsia="es-MX"/>
        </w:rPr>
        <w:t xml:space="preserve"> </w:t>
      </w:r>
      <w:r w:rsidRPr="00855FA5">
        <w:rPr>
          <w:rFonts w:ascii="Calibri" w:eastAsia="Calibri" w:hAnsi="Calibri" w:cs="Calibri"/>
          <w:i/>
          <w:iCs/>
          <w:color w:val="000000"/>
          <w:sz w:val="20"/>
          <w:szCs w:val="20"/>
          <w:lang w:val="es-MX" w:eastAsia="es-MX"/>
        </w:rPr>
        <w:t>Elaborad</w:t>
      </w:r>
      <w:r>
        <w:rPr>
          <w:rFonts w:ascii="Calibri" w:eastAsia="Calibri" w:hAnsi="Calibri" w:cs="Calibri"/>
          <w:i/>
          <w:iCs/>
          <w:color w:val="000000"/>
          <w:sz w:val="20"/>
          <w:szCs w:val="20"/>
          <w:lang w:val="es-MX" w:eastAsia="es-MX"/>
        </w:rPr>
        <w:t>a</w:t>
      </w:r>
      <w:r w:rsidRPr="00855FA5">
        <w:rPr>
          <w:rFonts w:ascii="Calibri" w:eastAsia="Calibri" w:hAnsi="Calibri" w:cs="Calibri"/>
          <w:i/>
          <w:iCs/>
          <w:color w:val="000000"/>
          <w:sz w:val="20"/>
          <w:szCs w:val="20"/>
          <w:lang w:val="es-MX" w:eastAsia="es-MX"/>
        </w:rPr>
        <w:t xml:space="preserve"> por los autores.</w:t>
      </w:r>
    </w:p>
    <w:p w14:paraId="153C51FC" w14:textId="77777777" w:rsidR="00855FA5" w:rsidRPr="00855FA5" w:rsidRDefault="00855FA5" w:rsidP="00855FA5">
      <w:pPr>
        <w:ind w:left="90"/>
        <w:jc w:val="both"/>
        <w:rPr>
          <w:rFonts w:ascii="Calibri" w:eastAsia="Calibri" w:hAnsi="Calibri" w:cs="Calibri"/>
          <w:color w:val="000000"/>
          <w:sz w:val="22"/>
          <w:lang w:val="es-MX" w:eastAsia="es-MX"/>
        </w:rPr>
      </w:pPr>
    </w:p>
    <w:p w14:paraId="4621F82E"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 xml:space="preserve">La eficiencia aparece como una dimensión que interconecta la capacidad de operar el SEN con un uso óptimo de recursos técnicos, económicos y energéticos. Esta eficiencia está directamente ligada a la existencia de una infraestructura moderna y a la generación estratégica para el aprovechamiento de recursos locales. Por otro lado, la confiabilidad, refleja la estabilidad operativa del sistema eléctrico como una condición necesaria. Por ello se asocia a la tecnología de respaldo, y la capacidad del sistema en general para garantizar la continuidad del servicio. </w:t>
      </w:r>
    </w:p>
    <w:p w14:paraId="203AC911" w14:textId="77777777" w:rsidR="00855FA5" w:rsidRPr="00855FA5" w:rsidRDefault="00855FA5" w:rsidP="00855FA5">
      <w:pPr>
        <w:ind w:left="90"/>
        <w:jc w:val="both"/>
        <w:rPr>
          <w:rFonts w:ascii="Calibri" w:eastAsia="Calibri" w:hAnsi="Calibri" w:cs="Calibri"/>
          <w:color w:val="000000"/>
          <w:sz w:val="22"/>
          <w:lang w:val="es-MX" w:eastAsia="es-MX"/>
        </w:rPr>
      </w:pPr>
    </w:p>
    <w:p w14:paraId="0A40482D"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El nodo de dependencia tecnológica remite a la necesidad de avanzar hacia una soberanía tecnológica, desarrollando capacidades nacionales para el diseño, fabricación, operación y mantenimiento de tecnologías clave. La competitividad estructural no puede sostenerse con equipos importados o cadenas de valor extranjeras que exponen al sistema a volatilidades externas.</w:t>
      </w:r>
    </w:p>
    <w:p w14:paraId="5F1DA643" w14:textId="77777777" w:rsidR="00855FA5" w:rsidRPr="00855FA5" w:rsidRDefault="00855FA5" w:rsidP="00855FA5">
      <w:pPr>
        <w:ind w:left="90"/>
        <w:jc w:val="both"/>
        <w:rPr>
          <w:rFonts w:ascii="Calibri" w:eastAsia="Calibri" w:hAnsi="Calibri" w:cs="Calibri"/>
          <w:color w:val="000000"/>
          <w:sz w:val="22"/>
          <w:lang w:val="es-MX" w:eastAsia="es-MX"/>
        </w:rPr>
      </w:pPr>
    </w:p>
    <w:p w14:paraId="0F802FDC"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Nuevamente, se puede notar la necesidad de habilitar entornos regulatorios que favorezcan la entrada de nuevos actores, la innovación tecnológica y la diversidad de modelos operativos. Incluso, aunque no es recurrente, se introduce un criterio social en la competitividad, al señalar que un sistema energético competitivo debe ser accesible financieramente para diversos actores, incluyendo comunidades, cooperativas o pequeñas empresas, porque se limita el desarrollo de modelos descentralizados que podrían ser más competitivos en ciertos contextos.</w:t>
      </w:r>
    </w:p>
    <w:p w14:paraId="43B8C464" w14:textId="77777777" w:rsidR="00855FA5" w:rsidRPr="00855FA5" w:rsidRDefault="00855FA5" w:rsidP="00855FA5">
      <w:pPr>
        <w:ind w:left="90"/>
        <w:jc w:val="both"/>
        <w:rPr>
          <w:rFonts w:ascii="Calibri" w:eastAsia="Calibri" w:hAnsi="Calibri" w:cs="Calibri"/>
          <w:color w:val="000000"/>
          <w:sz w:val="22"/>
          <w:lang w:val="es-MX" w:eastAsia="es-MX"/>
        </w:rPr>
      </w:pPr>
    </w:p>
    <w:p w14:paraId="22531662"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Se vincula con el aprovechamiento de recursos endógenos, especialmente en zonas con alto potencial renovable. Este enfoque impulsa la competitividad a través de la reducción de pérdidas por transmisión, la mejora de la seguridad de suministro local y la creación de valor territorial. No obstante, a pesar de que México cuenta con un portafolio abundante de recursos renovables, las políticas públicas han priorizado la expansión de tecnologías importadas, en particular el gas natural, lo cual ha incrementado la dependencia energética del país, limitando a su vez la competitividad estructural del sistema. Por tanto, es imprescindible contemplar criterios que aborden la soberanía tecnológica, empleabilidad local, seguridad de suministro y resiliencia territorial, complementarios a los criterios económico-financieros tradicionales. Esta visión apuesta por un modelo de desarrollo energético más equitativo, territorialmente articulado y estratégicamente autónomo.</w:t>
      </w:r>
    </w:p>
    <w:p w14:paraId="688E7036" w14:textId="77777777" w:rsidR="00855FA5" w:rsidRPr="00855FA5" w:rsidRDefault="00855FA5" w:rsidP="00855FA5">
      <w:pPr>
        <w:ind w:left="90"/>
        <w:jc w:val="both"/>
        <w:rPr>
          <w:rFonts w:ascii="Calibri" w:eastAsia="Calibri" w:hAnsi="Calibri" w:cs="Calibri"/>
          <w:color w:val="000000"/>
          <w:sz w:val="22"/>
          <w:lang w:val="es-MX" w:eastAsia="es-MX"/>
        </w:rPr>
      </w:pPr>
    </w:p>
    <w:p w14:paraId="3B73B3D0"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Los resultados muestran que los mecanismos de prospectiva energética utilizados en México tienden a centrarse en modelos de optimización que privilegian el costo mínimo como criterio dominante. Desde una mirada crítica, se señala que los modelos actuales de prospectiva contribuyen a naturalizar una visión restringida de la competitividad energética, excluyendo formas descentralizadas, comunitarias o resilientes de generación. Se hace necesario, entonces, incorporar indicadores de eficiencia sistémica, equidad territorial, diversificación tecnológica y gobernanza energética en los procesos de planeación a futuro. A partir de estas perspectivas, se hace evidente que la competitividad es una noción multidimensional situada. En lugar de imponer una definición única, la discusión sugiere una tipología interpretativa que articula cinco ejes emergentes: económica (precio), técnica (confiabilidad), geoespacial (territorio), productiva (industria nacional) y sustentable (impacto ambiental y social, principalmente). Esta clasificación no busca generalizar, sino entender la pluralidad de criterios que orientan las decisiones y percepciones sobre la transición energética en México. La competitividad no puede definirse únicamente en términos nacionales, ya que las condiciones para competir desde zonas del norte o sur varían sustancialmente según la disponibilidad de infraestructura, recursos, capacidades locales y demanda regional.</w:t>
      </w:r>
    </w:p>
    <w:p w14:paraId="60C6177D" w14:textId="77777777" w:rsidR="00855FA5" w:rsidRPr="00855FA5" w:rsidRDefault="00855FA5" w:rsidP="00855FA5">
      <w:pPr>
        <w:ind w:left="90"/>
        <w:jc w:val="both"/>
        <w:rPr>
          <w:rFonts w:ascii="Calibri" w:eastAsia="Calibri" w:hAnsi="Calibri" w:cs="Calibri"/>
          <w:color w:val="000000"/>
          <w:sz w:val="22"/>
          <w:lang w:val="es-MX" w:eastAsia="es-MX"/>
        </w:rPr>
      </w:pPr>
    </w:p>
    <w:p w14:paraId="2A8009F4"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Es por ello por lo que, resulta necesario incorporar criterios regionales en la planeación del sistema, pues las estrategias centralizadas tienden a invisibilizar barreras logísticas, técnicas y económicas que limitan la expansión de soluciones competitivas en contextos específicos. Tampoco, puede ser evaluada sin considerar simultáneamente su impacto en la confiabilidad del sistema, la cual no es negociable, así como en el impacto positivo que puede tener una determinada tecnología por desplegarse en una localidad para brindar servicios y generar empleo a la población, en la dependencia tecnológica y en el cuidado ambiental.</w:t>
      </w:r>
    </w:p>
    <w:p w14:paraId="0D0A8C91" w14:textId="77777777" w:rsidR="00855FA5" w:rsidRPr="00855FA5" w:rsidRDefault="00855FA5" w:rsidP="00855FA5">
      <w:pPr>
        <w:ind w:left="90"/>
        <w:jc w:val="both"/>
        <w:rPr>
          <w:rFonts w:ascii="Calibri" w:eastAsia="Calibri" w:hAnsi="Calibri" w:cs="Calibri"/>
          <w:color w:val="000000"/>
          <w:sz w:val="22"/>
          <w:lang w:val="es-MX" w:eastAsia="es-MX"/>
        </w:rPr>
      </w:pPr>
    </w:p>
    <w:p w14:paraId="68BF4F9E" w14:textId="77777777"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Las limitaciones de la investigación se relacionan principalmente con la heterogeneidad conceptual observada entre las personas entrevistadas, especialmente en torno a nociones como competitividad, confiabilidad y autosuficiencia. Al no existir definiciones operacionales estandarizadas en el sector, estas categorías se interpretan desde marcos institucionales, técnicos y normativos distintos, lo que introduce variabilidad en la interpretación de los hallazgos.</w:t>
      </w:r>
    </w:p>
    <w:p w14:paraId="0E5E6267" w14:textId="77777777" w:rsidR="00855FA5" w:rsidRPr="00855FA5" w:rsidRDefault="00855FA5" w:rsidP="00855FA5">
      <w:pPr>
        <w:ind w:left="90"/>
        <w:jc w:val="both"/>
        <w:rPr>
          <w:rFonts w:ascii="Calibri" w:eastAsia="Calibri" w:hAnsi="Calibri" w:cs="Calibri"/>
          <w:color w:val="000000"/>
          <w:sz w:val="22"/>
          <w:lang w:val="es-MX" w:eastAsia="es-MX"/>
        </w:rPr>
      </w:pPr>
    </w:p>
    <w:p w14:paraId="36C0052A" w14:textId="7A69361C" w:rsidR="00855FA5" w:rsidRPr="00855FA5" w:rsidRDefault="00855FA5" w:rsidP="00855FA5">
      <w:pPr>
        <w:ind w:left="90"/>
        <w:jc w:val="both"/>
        <w:rPr>
          <w:rFonts w:ascii="Calibri" w:eastAsia="Calibri" w:hAnsi="Calibri" w:cs="Calibri"/>
          <w:color w:val="000000"/>
          <w:sz w:val="22"/>
          <w:lang w:val="es-MX" w:eastAsia="es-MX"/>
        </w:rPr>
      </w:pPr>
      <w:r w:rsidRPr="00855FA5">
        <w:rPr>
          <w:rFonts w:ascii="Calibri" w:eastAsia="Calibri" w:hAnsi="Calibri" w:cs="Calibri"/>
          <w:color w:val="000000"/>
          <w:sz w:val="22"/>
          <w:lang w:val="es-MX" w:eastAsia="es-MX"/>
        </w:rPr>
        <w:t>Adicionalmente, el desarrollo de esta investigación inició a finales de 2024, y concluyó formalmente durante el primer semestre de 2025, un periodo marcado por una alta incertidumbre regulatoria debido a los cambios en la política energética nacional. Esta condición representó una limitación importante, debido a que varias de las aportaciones de las personas entrevistadas tenían un carácter especulativo, dado que el marco normativo no se había definido en ese momento. Posteriormente, varias de sus expectativas convergieron con la transformación de la legislación del sector energético, en particular, lo dispuesto en la reforma constitucional y la promulgación de la Ley del Sector Eléctrico, junto con nuevas disposiciones vinculadas a la transición energética, que redefinieron la estructura institucional del sector al fortalecer y centralizar las funciones de planeación, otorgamiento de permisos y regulación tarifaria en el sistema energético nacional.</w:t>
      </w:r>
    </w:p>
    <w:p w14:paraId="659776FE" w14:textId="77777777" w:rsidR="00F70C8E" w:rsidRDefault="009E4DDE" w:rsidP="00F70C8E">
      <w:pPr>
        <w:spacing w:before="100" w:beforeAutospacing="1" w:after="100" w:afterAutospacing="1"/>
        <w:ind w:left="90"/>
        <w:jc w:val="both"/>
        <w:rPr>
          <w:rFonts w:ascii="Calibri" w:hAnsi="Calibri" w:cs="Calibri"/>
          <w:b/>
          <w:sz w:val="22"/>
          <w:lang w:val="es-CO"/>
        </w:rPr>
      </w:pPr>
      <w:r w:rsidRPr="00FD6729">
        <w:rPr>
          <w:rFonts w:ascii="Calibri" w:hAnsi="Calibri" w:cs="Calibri"/>
          <w:b/>
          <w:sz w:val="22"/>
          <w:lang w:val="es-CO"/>
        </w:rPr>
        <w:t>CONCLUSIONES</w:t>
      </w:r>
    </w:p>
    <w:p w14:paraId="54B7BD7F" w14:textId="77777777" w:rsidR="00A0256F" w:rsidRPr="00A0256F" w:rsidRDefault="00000000" w:rsidP="00A0256F">
      <w:pPr>
        <w:ind w:left="90"/>
        <w:jc w:val="both"/>
        <w:rPr>
          <w:rFonts w:ascii="Calibri" w:eastAsia="Calibri" w:hAnsi="Calibri" w:cs="Calibri"/>
          <w:color w:val="000000"/>
          <w:sz w:val="22"/>
          <w:lang w:val="es-MX" w:eastAsia="es-MX"/>
        </w:rPr>
      </w:pPr>
      <w:sdt>
        <w:sdtPr>
          <w:rPr>
            <w:rFonts w:ascii="Calibri" w:eastAsia="Century Gothic" w:hAnsi="Calibri" w:cs="Calibri"/>
            <w:color w:val="000000"/>
            <w:sz w:val="24"/>
            <w:szCs w:val="24"/>
            <w:lang w:val="es-MX" w:eastAsia="es-MX"/>
          </w:rPr>
          <w:tag w:val="goog_rdk_30"/>
          <w:id w:val="165470464"/>
        </w:sdtPr>
        <w:sdtContent/>
      </w:sdt>
      <w:r w:rsidR="00A0256F" w:rsidRPr="00A0256F">
        <w:rPr>
          <w:rFonts w:ascii="Calibri" w:eastAsia="Calibri" w:hAnsi="Calibri" w:cs="Calibri"/>
          <w:color w:val="000000"/>
          <w:sz w:val="22"/>
          <w:lang w:val="es-MX" w:eastAsia="es-MX"/>
        </w:rPr>
        <w:t>Los hallazgos en la investigación evidencian que la competitividad energética no puede ser reducida al precio de la energía, ni como una categoría aislada, sino que opera como un eje articulador transversal. La eficiencia, la confiabilidad, la inclusión financiera y la generación local estratégica son elementos necesarios para alcanzar un sistema eléctrico competitivo que requiere tanto capacidades técnicas avanzadas como entornos regulatorios y territoriales habilitantes. En términos de innovación, se identifican tecnologías esenciales como: redes inteligentes, el almacenamiento energético y la generación distribuida, para mejorar la resiliencia, optimización y flexibilidad del SEN. Sin embargo, su despliegue ha sido marginal y carente de una estrategia nacional articulada. Asimismo, la autosuficiencia eléctrica no puede sustentarse únicamente en la disponibilidad de recursos naturales. Se requiere una autosuficiencia funcional, basada en el desarrollo de capacidades tecnológicas, institucionales y territoriales, así como en la construcción de un sistema de gobernanza energética inclusivo.</w:t>
      </w:r>
    </w:p>
    <w:p w14:paraId="27ED856F" w14:textId="77777777" w:rsidR="00A0256F" w:rsidRPr="00A0256F" w:rsidRDefault="00A0256F" w:rsidP="00A0256F">
      <w:pPr>
        <w:ind w:left="90"/>
        <w:jc w:val="both"/>
        <w:rPr>
          <w:rFonts w:ascii="Calibri" w:eastAsia="Calibri" w:hAnsi="Calibri" w:cs="Calibri"/>
          <w:color w:val="000000"/>
          <w:sz w:val="22"/>
          <w:lang w:val="es-MX" w:eastAsia="es-MX"/>
        </w:rPr>
      </w:pPr>
    </w:p>
    <w:p w14:paraId="5E24B410" w14:textId="77777777" w:rsidR="00A0256F" w:rsidRPr="00A0256F" w:rsidRDefault="00A0256F" w:rsidP="00A0256F">
      <w:pPr>
        <w:ind w:left="90"/>
        <w:jc w:val="both"/>
        <w:rPr>
          <w:rFonts w:ascii="Calibri" w:eastAsia="Calibri" w:hAnsi="Calibri" w:cs="Calibri"/>
          <w:color w:val="000000"/>
          <w:sz w:val="22"/>
          <w:lang w:val="es-MX" w:eastAsia="es-MX"/>
        </w:rPr>
      </w:pPr>
      <w:r w:rsidRPr="00A0256F">
        <w:rPr>
          <w:rFonts w:ascii="Calibri" w:eastAsia="Calibri" w:hAnsi="Calibri" w:cs="Calibri"/>
          <w:color w:val="000000"/>
          <w:sz w:val="22"/>
          <w:lang w:val="es-MX" w:eastAsia="es-MX"/>
        </w:rPr>
        <w:t>Respecto al objetivo general de la investigación, analizar los criterios de competitividad para alcanzar la autosuficiencia eléctrica en México, se concluye que es necesario construir una visión integral de la competitividad, que contemple: la confiabilidad técnica del sistema como condición no negociable, la eficiencia operativa, considerando los costos reales de respaldo y servicios auxiliares, la autonomía tecnológica, como base para la resiliencia energética, la reducción de riesgos externos y la generación de valor local, en términos económicos, sociales y ambientales.</w:t>
      </w:r>
    </w:p>
    <w:p w14:paraId="711CCE82" w14:textId="56ADD37E" w:rsidR="00793F92" w:rsidRDefault="009E4DDE" w:rsidP="00F70C8E">
      <w:pPr>
        <w:spacing w:before="100" w:beforeAutospacing="1" w:after="100" w:afterAutospacing="1"/>
        <w:ind w:left="90"/>
        <w:jc w:val="both"/>
        <w:rPr>
          <w:rFonts w:ascii="Calibri" w:eastAsia="Times New Roman" w:hAnsi="Calibri" w:cs="Calibri"/>
          <w:b/>
          <w:sz w:val="22"/>
          <w:lang w:eastAsia="es-ES"/>
        </w:rPr>
      </w:pPr>
      <w:r w:rsidRPr="00FD6729">
        <w:rPr>
          <w:rFonts w:ascii="Calibri" w:hAnsi="Calibri" w:cs="Calibri"/>
          <w:b/>
          <w:sz w:val="22"/>
        </w:rPr>
        <w:t xml:space="preserve">REFERENCIAS </w:t>
      </w:r>
      <w:r w:rsidRPr="00FD6729">
        <w:rPr>
          <w:rFonts w:ascii="Calibri" w:eastAsia="Times New Roman" w:hAnsi="Calibri" w:cs="Calibri"/>
          <w:b/>
          <w:sz w:val="22"/>
          <w:lang w:eastAsia="es-ES"/>
        </w:rPr>
        <w:t>BIBLIOGRÁFIC</w:t>
      </w:r>
      <w:r w:rsidR="008A3E8F" w:rsidRPr="00FD6729">
        <w:rPr>
          <w:rFonts w:ascii="Calibri" w:eastAsia="Times New Roman" w:hAnsi="Calibri" w:cs="Calibri"/>
          <w:b/>
          <w:sz w:val="22"/>
          <w:lang w:eastAsia="es-ES"/>
        </w:rPr>
        <w:t>AS</w:t>
      </w:r>
    </w:p>
    <w:p w14:paraId="48FF8D19"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n-US" w:eastAsia="es-MX"/>
        </w:rPr>
      </w:pPr>
      <w:r w:rsidRPr="00BA5F4C">
        <w:rPr>
          <w:rFonts w:ascii="Calibri" w:eastAsia="Calibri" w:hAnsi="Calibri" w:cs="Calibri"/>
          <w:color w:val="000000"/>
          <w:sz w:val="22"/>
          <w:lang w:val="es-MX" w:eastAsia="es-MX"/>
        </w:rPr>
        <w:t xml:space="preserve">Baena, G. (2017). </w:t>
      </w:r>
      <w:r w:rsidRPr="00BA5F4C">
        <w:rPr>
          <w:rFonts w:ascii="Calibri" w:eastAsia="Calibri" w:hAnsi="Calibri" w:cs="Calibri"/>
          <w:i/>
          <w:iCs/>
          <w:color w:val="000000"/>
          <w:sz w:val="22"/>
          <w:lang w:val="es-MX" w:eastAsia="es-MX"/>
        </w:rPr>
        <w:t>Metodología de la investigación</w:t>
      </w:r>
      <w:r w:rsidRPr="00BA5F4C">
        <w:rPr>
          <w:rFonts w:ascii="Calibri" w:eastAsia="Calibri" w:hAnsi="Calibri" w:cs="Calibri"/>
          <w:color w:val="000000"/>
          <w:sz w:val="22"/>
          <w:lang w:val="es-MX" w:eastAsia="es-MX"/>
        </w:rPr>
        <w:t xml:space="preserve"> (3a. ed.). </w:t>
      </w:r>
      <w:r w:rsidRPr="00BA5F4C">
        <w:rPr>
          <w:rFonts w:ascii="Calibri" w:eastAsia="Calibri" w:hAnsi="Calibri" w:cs="Calibri"/>
          <w:color w:val="000000"/>
          <w:sz w:val="22"/>
          <w:lang w:val="en-US" w:eastAsia="es-MX"/>
        </w:rPr>
        <w:t>Patria.</w:t>
      </w:r>
    </w:p>
    <w:p w14:paraId="0ED4C616"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MX" w:eastAsia="es-MX"/>
        </w:rPr>
      </w:pPr>
      <w:r w:rsidRPr="00BA5F4C">
        <w:rPr>
          <w:rFonts w:ascii="Calibri" w:eastAsia="Calibri" w:hAnsi="Calibri" w:cs="Calibri"/>
          <w:color w:val="000000"/>
          <w:sz w:val="22"/>
          <w:lang w:val="en-US" w:eastAsia="es-MX"/>
        </w:rPr>
        <w:t xml:space="preserve">British Petroleum. (2022). bp </w:t>
      </w:r>
      <w:r w:rsidRPr="00BA5F4C">
        <w:rPr>
          <w:rFonts w:ascii="Calibri" w:eastAsia="Calibri" w:hAnsi="Calibri" w:cs="Calibri"/>
          <w:i/>
          <w:iCs/>
          <w:color w:val="000000"/>
          <w:sz w:val="22"/>
          <w:lang w:val="en-US" w:eastAsia="es-MX"/>
        </w:rPr>
        <w:t>statistical review of world energy (71 ed.)</w:t>
      </w:r>
      <w:r w:rsidRPr="00BA5F4C">
        <w:rPr>
          <w:rFonts w:ascii="Calibri" w:eastAsia="Calibri" w:hAnsi="Calibri" w:cs="Calibri"/>
          <w:color w:val="000000"/>
          <w:sz w:val="22"/>
          <w:lang w:val="en-US" w:eastAsia="es-MX"/>
        </w:rPr>
        <w:t xml:space="preserve">  </w:t>
      </w:r>
      <w:hyperlink r:id="rId17" w:history="1">
        <w:r w:rsidRPr="00BA5F4C">
          <w:rPr>
            <w:rFonts w:ascii="Calibri" w:eastAsia="Century Gothic" w:hAnsi="Calibri" w:cs="Calibri"/>
            <w:color w:val="B85A22"/>
            <w:sz w:val="22"/>
            <w:u w:val="single"/>
            <w:lang w:val="es-MX" w:eastAsia="es-MX"/>
          </w:rPr>
          <w:t>https://acortar.link/dbQlwm</w:t>
        </w:r>
      </w:hyperlink>
      <w:r w:rsidRPr="00BA5F4C">
        <w:rPr>
          <w:rFonts w:ascii="Calibri" w:eastAsia="Century Gothic" w:hAnsi="Calibri" w:cs="Calibri"/>
          <w:sz w:val="22"/>
          <w:lang w:val="es-MX" w:eastAsia="es-MX"/>
        </w:rPr>
        <w:t xml:space="preserve"> </w:t>
      </w:r>
    </w:p>
    <w:p w14:paraId="13BFF0D8" w14:textId="77777777" w:rsidR="00BA5F4C" w:rsidRPr="00BA5F4C" w:rsidRDefault="00BA5F4C" w:rsidP="00BA5F4C">
      <w:pPr>
        <w:spacing w:before="100" w:beforeAutospacing="1" w:after="100" w:afterAutospacing="1"/>
        <w:ind w:left="360" w:hanging="270"/>
        <w:jc w:val="both"/>
        <w:rPr>
          <w:rFonts w:ascii="Calibri" w:eastAsia="Calibri" w:hAnsi="Calibri" w:cs="Calibri"/>
          <w:color w:val="000000"/>
          <w:sz w:val="22"/>
          <w:lang w:val="es-MX" w:eastAsia="es-MX"/>
        </w:rPr>
      </w:pPr>
      <w:r w:rsidRPr="00BA5F4C">
        <w:rPr>
          <w:rFonts w:ascii="Calibri" w:eastAsia="Calibri" w:hAnsi="Calibri" w:cs="Calibri"/>
          <w:color w:val="000000"/>
          <w:sz w:val="22"/>
          <w:lang w:val="es-MX" w:eastAsia="es-MX"/>
        </w:rPr>
        <w:t xml:space="preserve">Cámara de Diputados del Honorable Congreso de la Unión. (2015). </w:t>
      </w:r>
      <w:r w:rsidRPr="00BA5F4C">
        <w:rPr>
          <w:rFonts w:ascii="Calibri" w:eastAsia="Calibri" w:hAnsi="Calibri" w:cs="Calibri"/>
          <w:i/>
          <w:iCs/>
          <w:color w:val="000000"/>
          <w:sz w:val="22"/>
          <w:lang w:val="es-MX" w:eastAsia="es-MX"/>
        </w:rPr>
        <w:t>Ley de Transición Energética</w:t>
      </w:r>
      <w:r w:rsidRPr="00BA5F4C">
        <w:rPr>
          <w:rFonts w:ascii="Calibri" w:eastAsia="Calibri" w:hAnsi="Calibri" w:cs="Calibri"/>
          <w:color w:val="000000"/>
          <w:sz w:val="22"/>
          <w:lang w:val="es-MX" w:eastAsia="es-MX"/>
        </w:rPr>
        <w:t xml:space="preserve">. Diario Oficial de la Federación. </w:t>
      </w:r>
      <w:hyperlink r:id="rId18" w:history="1">
        <w:r w:rsidRPr="00BA5F4C">
          <w:rPr>
            <w:rFonts w:ascii="Calibri" w:eastAsia="Century Gothic" w:hAnsi="Calibri" w:cs="Calibri"/>
            <w:color w:val="B85A22"/>
            <w:sz w:val="22"/>
            <w:u w:val="single"/>
            <w:lang w:val="es-MX" w:eastAsia="es-MX"/>
          </w:rPr>
          <w:t>https://acortar.link/I1DLE9</w:t>
        </w:r>
      </w:hyperlink>
      <w:r w:rsidRPr="00BA5F4C">
        <w:rPr>
          <w:rFonts w:ascii="Calibri" w:eastAsia="Century Gothic" w:hAnsi="Calibri" w:cs="Calibri"/>
          <w:sz w:val="22"/>
          <w:lang w:val="es-MX" w:eastAsia="es-MX"/>
        </w:rPr>
        <w:t xml:space="preserve"> </w:t>
      </w:r>
      <w:r w:rsidRPr="00BA5F4C">
        <w:rPr>
          <w:rFonts w:ascii="Calibri" w:eastAsia="Calibri" w:hAnsi="Calibri" w:cs="Calibri"/>
          <w:color w:val="000000"/>
          <w:sz w:val="22"/>
          <w:lang w:val="es-MX" w:eastAsia="es-MX"/>
        </w:rPr>
        <w:t xml:space="preserve"> </w:t>
      </w:r>
    </w:p>
    <w:p w14:paraId="45874072" w14:textId="77777777" w:rsidR="00BA5F4C" w:rsidRPr="00BA5F4C" w:rsidRDefault="00000000" w:rsidP="00BA5F4C">
      <w:pPr>
        <w:spacing w:before="100" w:beforeAutospacing="1" w:after="100" w:afterAutospacing="1"/>
        <w:ind w:left="360" w:hanging="270"/>
        <w:jc w:val="both"/>
        <w:rPr>
          <w:rFonts w:ascii="Calibri" w:eastAsia="Calibri" w:hAnsi="Calibri" w:cs="Calibri"/>
          <w:color w:val="000000"/>
          <w:sz w:val="22"/>
          <w:lang w:val="es-MX" w:eastAsia="es-MX"/>
        </w:rPr>
      </w:pPr>
      <w:sdt>
        <w:sdtPr>
          <w:rPr>
            <w:rFonts w:ascii="Calibri" w:eastAsia="Calibri" w:hAnsi="Calibri" w:cs="Calibri"/>
            <w:color w:val="000000"/>
            <w:sz w:val="22"/>
            <w:lang w:val="es-MX" w:eastAsia="es-MX"/>
          </w:rPr>
          <w:tag w:val="goog_rdk_32"/>
          <w:id w:val="2038147851"/>
        </w:sdtPr>
        <w:sdtContent/>
      </w:sdt>
      <w:r w:rsidR="00BA5F4C" w:rsidRPr="00BA5F4C">
        <w:rPr>
          <w:rFonts w:ascii="Calibri" w:eastAsia="Calibri" w:hAnsi="Calibri" w:cs="Calibri"/>
          <w:color w:val="000000"/>
          <w:sz w:val="22"/>
          <w:lang w:val="es-US" w:eastAsia="es-MX"/>
        </w:rPr>
        <w:t>C</w:t>
      </w:r>
      <w:sdt>
        <w:sdtPr>
          <w:rPr>
            <w:rFonts w:ascii="Calibri" w:eastAsia="Calibri" w:hAnsi="Calibri" w:cs="Calibri"/>
            <w:color w:val="000000"/>
            <w:sz w:val="22"/>
            <w:lang w:val="es-MX" w:eastAsia="es-MX"/>
          </w:rPr>
          <w:tag w:val="goog_rdk_34"/>
          <w:id w:val="-1293995317"/>
        </w:sdtPr>
        <w:sdtContent/>
      </w:sdt>
      <w:r w:rsidR="00BA5F4C" w:rsidRPr="00BA5F4C">
        <w:rPr>
          <w:rFonts w:ascii="Calibri" w:eastAsia="Calibri" w:hAnsi="Calibri" w:cs="Calibri"/>
          <w:color w:val="000000"/>
          <w:sz w:val="22"/>
          <w:lang w:val="es-US" w:eastAsia="es-MX"/>
        </w:rPr>
        <w:t>as</w:t>
      </w:r>
      <w:sdt>
        <w:sdtPr>
          <w:rPr>
            <w:rFonts w:ascii="Calibri" w:eastAsia="Calibri" w:hAnsi="Calibri" w:cs="Calibri"/>
            <w:color w:val="000000"/>
            <w:sz w:val="22"/>
            <w:lang w:val="es-MX" w:eastAsia="es-MX"/>
          </w:rPr>
          <w:tag w:val="goog_rdk_35"/>
          <w:id w:val="47571032"/>
        </w:sdtPr>
        <w:sdtContent/>
      </w:sdt>
      <w:sdt>
        <w:sdtPr>
          <w:rPr>
            <w:rFonts w:ascii="Calibri" w:eastAsia="Calibri" w:hAnsi="Calibri" w:cs="Calibri"/>
            <w:color w:val="000000"/>
            <w:sz w:val="22"/>
            <w:lang w:val="es-MX" w:eastAsia="es-MX"/>
          </w:rPr>
          <w:tag w:val="goog_rdk_36"/>
          <w:id w:val="390032597"/>
        </w:sdtPr>
        <w:sdtContent/>
      </w:sdt>
      <w:sdt>
        <w:sdtPr>
          <w:rPr>
            <w:rFonts w:ascii="Calibri" w:eastAsia="Calibri" w:hAnsi="Calibri" w:cs="Calibri"/>
            <w:color w:val="000000"/>
            <w:sz w:val="22"/>
            <w:lang w:val="es-MX" w:eastAsia="es-MX"/>
          </w:rPr>
          <w:tag w:val="goog_rdk_37"/>
          <w:id w:val="291178489"/>
        </w:sdtPr>
        <w:sdtContent/>
      </w:sdt>
      <w:r w:rsidR="00BA5F4C" w:rsidRPr="00BA5F4C">
        <w:rPr>
          <w:rFonts w:ascii="Calibri" w:eastAsia="Calibri" w:hAnsi="Calibri" w:cs="Calibri"/>
          <w:color w:val="000000"/>
          <w:sz w:val="22"/>
          <w:lang w:val="es-US" w:eastAsia="es-MX"/>
        </w:rPr>
        <w:t xml:space="preserve">anova, J. y Rabasco, F. (s. f.). </w:t>
      </w:r>
      <w:r w:rsidR="00BA5F4C" w:rsidRPr="00BA5F4C">
        <w:rPr>
          <w:rFonts w:ascii="Calibri" w:eastAsia="Calibri" w:hAnsi="Calibri" w:cs="Calibri"/>
          <w:i/>
          <w:iCs/>
          <w:color w:val="000000"/>
          <w:sz w:val="22"/>
          <w:lang w:val="es-MX" w:eastAsia="es-MX"/>
        </w:rPr>
        <w:t>Nuevas herramientas para el procesamiento de datos cualitativos</w:t>
      </w:r>
      <w:r w:rsidR="00BA5F4C" w:rsidRPr="00BA5F4C">
        <w:rPr>
          <w:rFonts w:ascii="Calibri" w:eastAsia="Calibri" w:hAnsi="Calibri" w:cs="Calibri"/>
          <w:color w:val="000000"/>
          <w:sz w:val="22"/>
          <w:lang w:val="es-MX" w:eastAsia="es-MX"/>
        </w:rPr>
        <w:t>. Universidad de C</w:t>
      </w:r>
      <w:r w:rsidR="00BA5F4C" w:rsidRPr="00BA5F4C">
        <w:rPr>
          <w:rFonts w:ascii="Calibri" w:eastAsia="Calibri" w:hAnsi="Calibri" w:cs="Calibri"/>
          <w:color w:val="000000"/>
          <w:sz w:val="22"/>
          <w:lang w:val="es-US" w:eastAsia="es-MX"/>
        </w:rPr>
        <w:t>á</w:t>
      </w:r>
      <w:proofErr w:type="spellStart"/>
      <w:r w:rsidR="00BA5F4C" w:rsidRPr="00BA5F4C">
        <w:rPr>
          <w:rFonts w:ascii="Calibri" w:eastAsia="Calibri" w:hAnsi="Calibri" w:cs="Calibri"/>
          <w:color w:val="000000"/>
          <w:sz w:val="22"/>
          <w:lang w:val="es-MX" w:eastAsia="es-MX"/>
        </w:rPr>
        <w:t>diz</w:t>
      </w:r>
      <w:proofErr w:type="spellEnd"/>
      <w:r w:rsidR="00BA5F4C" w:rsidRPr="00BA5F4C">
        <w:rPr>
          <w:rFonts w:ascii="Calibri" w:eastAsia="Calibri" w:hAnsi="Calibri" w:cs="Calibri"/>
          <w:color w:val="000000"/>
          <w:sz w:val="22"/>
          <w:lang w:val="es-MX" w:eastAsia="es-MX"/>
        </w:rPr>
        <w:t xml:space="preserve">. </w:t>
      </w:r>
      <w:hyperlink r:id="rId19" w:history="1">
        <w:r w:rsidR="00BA5F4C" w:rsidRPr="00BA5F4C">
          <w:rPr>
            <w:rFonts w:ascii="Calibri" w:eastAsia="Calibri" w:hAnsi="Calibri" w:cs="Calibri"/>
            <w:color w:val="B85A22"/>
            <w:sz w:val="22"/>
            <w:u w:val="single"/>
            <w:lang w:val="es-MX" w:eastAsia="es-MX"/>
          </w:rPr>
          <w:t>https://acortar.link/OqmyDF</w:t>
        </w:r>
      </w:hyperlink>
    </w:p>
    <w:p w14:paraId="70C0352B" w14:textId="77777777" w:rsidR="00BA5F4C" w:rsidRPr="00BA5F4C" w:rsidRDefault="00BA5F4C" w:rsidP="00BA5F4C">
      <w:pPr>
        <w:spacing w:before="100" w:beforeAutospacing="1" w:after="100" w:afterAutospacing="1"/>
        <w:ind w:left="360" w:hanging="270"/>
        <w:jc w:val="both"/>
        <w:rPr>
          <w:rFonts w:ascii="Calibri" w:eastAsia="Calibri" w:hAnsi="Calibri" w:cs="Calibri"/>
          <w:color w:val="000000"/>
          <w:sz w:val="22"/>
          <w:u w:val="single"/>
          <w:lang w:val="en-US" w:eastAsia="es-MX"/>
        </w:rPr>
      </w:pPr>
      <w:r w:rsidRPr="00BA5F4C">
        <w:rPr>
          <w:rFonts w:ascii="Calibri" w:eastAsia="Calibri" w:hAnsi="Calibri" w:cs="Calibri"/>
          <w:color w:val="000000"/>
          <w:sz w:val="22"/>
          <w:lang w:val="es-MX" w:eastAsia="es-MX"/>
        </w:rPr>
        <w:t xml:space="preserve">Consejo Nacional de Humanidades, Ciencias y Tecnologías. (2023.). </w:t>
      </w:r>
      <w:r w:rsidRPr="00BA5F4C">
        <w:rPr>
          <w:rFonts w:ascii="Calibri" w:eastAsia="Calibri" w:hAnsi="Calibri" w:cs="Calibri"/>
          <w:i/>
          <w:iCs/>
          <w:color w:val="000000"/>
          <w:sz w:val="22"/>
          <w:lang w:val="es-MX" w:eastAsia="es-MX"/>
        </w:rPr>
        <w:t>Flujos y uso de gas</w:t>
      </w:r>
      <w:r w:rsidRPr="00BA5F4C">
        <w:rPr>
          <w:rFonts w:ascii="Calibri" w:eastAsia="Calibri" w:hAnsi="Calibri" w:cs="Calibri"/>
          <w:color w:val="000000"/>
          <w:sz w:val="22"/>
          <w:lang w:val="es-MX" w:eastAsia="es-MX"/>
        </w:rPr>
        <w:t>.</w:t>
      </w:r>
      <w:r w:rsidRPr="00BA5F4C">
        <w:rPr>
          <w:rFonts w:ascii="Calibri" w:eastAsia="Century Gothic" w:hAnsi="Calibri" w:cs="Calibri"/>
          <w:sz w:val="22"/>
          <w:lang w:val="es-MX" w:eastAsia="es-MX"/>
        </w:rPr>
        <w:t xml:space="preserve"> </w:t>
      </w:r>
      <w:r w:rsidRPr="00BA5F4C">
        <w:rPr>
          <w:rFonts w:ascii="Calibri" w:eastAsia="Calibri" w:hAnsi="Calibri" w:cs="Calibri"/>
          <w:color w:val="000000"/>
          <w:sz w:val="22"/>
          <w:lang w:val="en-US" w:eastAsia="es-MX"/>
        </w:rPr>
        <w:t>CONACYT.</w:t>
      </w:r>
    </w:p>
    <w:p w14:paraId="18C4B812" w14:textId="77777777" w:rsidR="00BA5F4C" w:rsidRPr="00BA5F4C" w:rsidRDefault="00BA5F4C" w:rsidP="00BA5F4C">
      <w:pPr>
        <w:spacing w:before="100" w:beforeAutospacing="1" w:after="100" w:afterAutospacing="1"/>
        <w:ind w:left="360" w:hanging="270"/>
        <w:jc w:val="both"/>
        <w:rPr>
          <w:rFonts w:ascii="Calibri" w:eastAsia="Century Gothic" w:hAnsi="Calibri" w:cs="Calibri"/>
          <w:sz w:val="22"/>
          <w:lang w:val="en-US" w:eastAsia="es-MX"/>
        </w:rPr>
      </w:pPr>
      <w:r w:rsidRPr="00BA5F4C">
        <w:rPr>
          <w:rFonts w:ascii="Calibri" w:eastAsia="Calibri" w:hAnsi="Calibri" w:cs="Calibri"/>
          <w:color w:val="000000"/>
          <w:sz w:val="22"/>
          <w:lang w:val="en-US" w:eastAsia="es-MX"/>
        </w:rPr>
        <w:t xml:space="preserve">Eitan, A. y Hekkert, M. P. (2023). Locked in transition? Towards a conceptualization of path-dependence lock-ins in the renewable energy landscape. </w:t>
      </w:r>
      <w:r w:rsidRPr="00BA5F4C">
        <w:rPr>
          <w:rFonts w:ascii="Calibri" w:eastAsia="Calibri" w:hAnsi="Calibri" w:cs="Calibri"/>
          <w:i/>
          <w:iCs/>
          <w:color w:val="000000"/>
          <w:sz w:val="22"/>
          <w:lang w:val="en-US" w:eastAsia="es-MX"/>
        </w:rPr>
        <w:t>Energy Research &amp; Social Science, 106,</w:t>
      </w:r>
      <w:r w:rsidRPr="00BA5F4C">
        <w:rPr>
          <w:rFonts w:ascii="Calibri" w:eastAsia="Calibri" w:hAnsi="Calibri" w:cs="Calibri"/>
          <w:color w:val="000000"/>
          <w:sz w:val="22"/>
          <w:lang w:val="en-US" w:eastAsia="es-MX"/>
        </w:rPr>
        <w:t xml:space="preserve"> 103316.</w:t>
      </w:r>
      <w:hyperlink r:id="rId20">
        <w:r w:rsidRPr="00BA5F4C">
          <w:rPr>
            <w:rFonts w:ascii="Calibri" w:eastAsia="Calibri" w:hAnsi="Calibri" w:cs="Calibri"/>
            <w:color w:val="000000"/>
            <w:sz w:val="22"/>
            <w:lang w:val="en-US" w:eastAsia="es-MX"/>
          </w:rPr>
          <w:t xml:space="preserve"> </w:t>
        </w:r>
      </w:hyperlink>
      <w:hyperlink r:id="rId21" w:history="1">
        <w:r w:rsidRPr="00BA5F4C">
          <w:rPr>
            <w:rFonts w:ascii="Calibri" w:eastAsia="Calibri" w:hAnsi="Calibri" w:cs="Calibri"/>
            <w:color w:val="B85A22"/>
            <w:sz w:val="22"/>
            <w:u w:val="single"/>
            <w:lang w:val="en-US" w:eastAsia="es-MX"/>
          </w:rPr>
          <w:t>https://doi.org/10.1016/j.erss.2023.10331</w:t>
        </w:r>
        <w:r w:rsidRPr="00BA5F4C">
          <w:rPr>
            <w:rFonts w:ascii="Calibri" w:eastAsia="Century Gothic" w:hAnsi="Calibri" w:cs="Calibri"/>
            <w:color w:val="B85A22"/>
            <w:sz w:val="22"/>
            <w:u w:val="single"/>
            <w:lang w:val="en-US" w:eastAsia="es-MX"/>
          </w:rPr>
          <w:t>6</w:t>
        </w:r>
      </w:hyperlink>
    </w:p>
    <w:p w14:paraId="4DD65159"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US" w:eastAsia="es-MX"/>
        </w:rPr>
      </w:pPr>
      <w:r w:rsidRPr="00BA5F4C">
        <w:rPr>
          <w:rFonts w:ascii="Calibri" w:eastAsia="Calibri" w:hAnsi="Calibri" w:cs="Calibri"/>
          <w:color w:val="000000"/>
          <w:sz w:val="22"/>
          <w:lang w:val="en-US" w:eastAsia="es-MX"/>
        </w:rPr>
        <w:t xml:space="preserve">European Commission. (2023). </w:t>
      </w:r>
      <w:r w:rsidRPr="00BA5F4C">
        <w:rPr>
          <w:rFonts w:ascii="Calibri" w:eastAsia="Calibri" w:hAnsi="Calibri" w:cs="Calibri"/>
          <w:i/>
          <w:iCs/>
          <w:color w:val="000000"/>
          <w:sz w:val="22"/>
          <w:lang w:val="en-US" w:eastAsia="es-MX"/>
        </w:rPr>
        <w:t>Renewable energy-directive, targets and rules</w:t>
      </w:r>
      <w:r w:rsidRPr="00BA5F4C">
        <w:rPr>
          <w:rFonts w:ascii="Calibri" w:eastAsia="Calibri" w:hAnsi="Calibri" w:cs="Calibri"/>
          <w:color w:val="000000"/>
          <w:sz w:val="22"/>
          <w:lang w:val="en-US" w:eastAsia="es-MX"/>
        </w:rPr>
        <w:t xml:space="preserve">. </w:t>
      </w:r>
      <w:proofErr w:type="spellStart"/>
      <w:r w:rsidRPr="00BA5F4C">
        <w:rPr>
          <w:rFonts w:ascii="Calibri" w:eastAsia="Calibri" w:hAnsi="Calibri" w:cs="Calibri"/>
          <w:color w:val="000000"/>
          <w:sz w:val="22"/>
          <w:lang w:val="es-US" w:eastAsia="es-MX"/>
        </w:rPr>
        <w:t>European</w:t>
      </w:r>
      <w:proofErr w:type="spellEnd"/>
      <w:r w:rsidRPr="00BA5F4C">
        <w:rPr>
          <w:rFonts w:ascii="Calibri" w:eastAsia="Calibri" w:hAnsi="Calibri" w:cs="Calibri"/>
          <w:color w:val="000000"/>
          <w:sz w:val="22"/>
          <w:lang w:val="es-US" w:eastAsia="es-MX"/>
        </w:rPr>
        <w:t xml:space="preserve"> Union. </w:t>
      </w:r>
      <w:hyperlink r:id="rId22" w:history="1">
        <w:r w:rsidRPr="00BA5F4C">
          <w:rPr>
            <w:rFonts w:ascii="Calibri" w:eastAsia="Calibri" w:hAnsi="Calibri" w:cs="Calibri"/>
            <w:color w:val="B85A22"/>
            <w:sz w:val="22"/>
            <w:u w:val="single"/>
            <w:lang w:val="es-US" w:eastAsia="es-MX"/>
          </w:rPr>
          <w:t>https://acortar.link/B11NIQ</w:t>
        </w:r>
      </w:hyperlink>
    </w:p>
    <w:p w14:paraId="31FB8FC3"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s-MX" w:eastAsia="es-MX"/>
        </w:rPr>
      </w:pPr>
      <w:proofErr w:type="spellStart"/>
      <w:r w:rsidRPr="00BA5F4C">
        <w:rPr>
          <w:rFonts w:ascii="Calibri" w:eastAsia="Calibri" w:hAnsi="Calibri" w:cs="Calibri"/>
          <w:color w:val="000000"/>
          <w:sz w:val="22"/>
          <w:lang w:val="es-MX" w:eastAsia="es-MX"/>
        </w:rPr>
        <w:t>Finol</w:t>
      </w:r>
      <w:proofErr w:type="spellEnd"/>
      <w:r w:rsidRPr="00BA5F4C">
        <w:rPr>
          <w:rFonts w:ascii="Calibri" w:eastAsia="Calibri" w:hAnsi="Calibri" w:cs="Calibri"/>
          <w:color w:val="000000"/>
          <w:sz w:val="22"/>
          <w:lang w:val="es-MX" w:eastAsia="es-MX"/>
        </w:rPr>
        <w:t xml:space="preserve">, M. y Arrieta, X. (2021). Métodos de investigación cualitativa. Un análisis documental. </w:t>
      </w:r>
      <w:r w:rsidRPr="00BA5F4C">
        <w:rPr>
          <w:rFonts w:ascii="Calibri" w:eastAsia="Calibri" w:hAnsi="Calibri" w:cs="Calibri"/>
          <w:i/>
          <w:iCs/>
          <w:color w:val="000000"/>
          <w:sz w:val="22"/>
          <w:lang w:val="es-MX" w:eastAsia="es-MX"/>
        </w:rPr>
        <w:t>Revista especializada en educación, 28</w:t>
      </w:r>
      <w:r w:rsidRPr="00BA5F4C">
        <w:rPr>
          <w:rFonts w:ascii="Calibri" w:eastAsia="Calibri" w:hAnsi="Calibri" w:cs="Calibri"/>
          <w:color w:val="000000"/>
          <w:sz w:val="22"/>
          <w:lang w:val="es-MX" w:eastAsia="es-MX"/>
        </w:rPr>
        <w:t xml:space="preserve">(1), 9-28. </w:t>
      </w:r>
      <w:hyperlink r:id="rId23" w:history="1">
        <w:r w:rsidRPr="00BA5F4C">
          <w:rPr>
            <w:rFonts w:ascii="Calibri" w:eastAsia="Calibri" w:hAnsi="Calibri" w:cs="Calibri"/>
            <w:color w:val="B85A22"/>
            <w:sz w:val="22"/>
            <w:u w:val="single"/>
            <w:lang w:val="es-MX" w:eastAsia="es-MX"/>
          </w:rPr>
          <w:t>https://doi.org/10.5281/zenodo.816947</w:t>
        </w:r>
        <w:r w:rsidRPr="00BA5F4C">
          <w:rPr>
            <w:rFonts w:ascii="Calibri" w:eastAsia="Century Gothic" w:hAnsi="Calibri" w:cs="Calibri"/>
            <w:color w:val="B85A22"/>
            <w:sz w:val="22"/>
            <w:u w:val="single"/>
            <w:lang w:val="es-MX" w:eastAsia="es-MX"/>
          </w:rPr>
          <w:t>2</w:t>
        </w:r>
      </w:hyperlink>
      <w:r w:rsidRPr="00BA5F4C">
        <w:rPr>
          <w:rFonts w:ascii="Calibri" w:eastAsia="Century Gothic" w:hAnsi="Calibri" w:cs="Calibri"/>
          <w:sz w:val="22"/>
          <w:lang w:val="es-MX" w:eastAsia="es-MX"/>
        </w:rPr>
        <w:t xml:space="preserve">  </w:t>
      </w:r>
    </w:p>
    <w:p w14:paraId="1AC6E9CF" w14:textId="770DE3AD"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n-US" w:eastAsia="es-MX"/>
        </w:rPr>
      </w:pPr>
      <w:r w:rsidRPr="00BA5F4C">
        <w:rPr>
          <w:rFonts w:ascii="Calibri" w:eastAsia="Calibri" w:hAnsi="Calibri" w:cs="Calibri"/>
          <w:color w:val="000000"/>
          <w:sz w:val="22"/>
          <w:lang w:val="es-US" w:eastAsia="es-MX"/>
        </w:rPr>
        <w:t xml:space="preserve">Gallagher, K. S. y Oh, S. (2023). </w:t>
      </w:r>
      <w:r w:rsidRPr="00BA5F4C">
        <w:rPr>
          <w:rFonts w:ascii="Calibri" w:eastAsia="Calibri" w:hAnsi="Calibri" w:cs="Calibri"/>
          <w:color w:val="000000"/>
          <w:sz w:val="22"/>
          <w:lang w:val="en-US" w:eastAsia="es-MX"/>
        </w:rPr>
        <w:t xml:space="preserve">Job creation and deep decarbonization. </w:t>
      </w:r>
      <w:r w:rsidRPr="00BA5F4C">
        <w:rPr>
          <w:rFonts w:ascii="Calibri" w:eastAsia="Calibri" w:hAnsi="Calibri" w:cs="Calibri"/>
          <w:i/>
          <w:iCs/>
          <w:color w:val="000000"/>
          <w:sz w:val="22"/>
          <w:lang w:val="en-US" w:eastAsia="es-MX"/>
        </w:rPr>
        <w:t>Oxford Review of Economic Policy</w:t>
      </w:r>
      <w:r w:rsidRPr="00BA5F4C">
        <w:rPr>
          <w:rFonts w:ascii="Calibri" w:eastAsia="Calibri" w:hAnsi="Calibri" w:cs="Calibri"/>
          <w:color w:val="000000"/>
          <w:sz w:val="22"/>
          <w:lang w:val="en-US" w:eastAsia="es-MX"/>
        </w:rPr>
        <w:t xml:space="preserve">, </w:t>
      </w:r>
      <w:r w:rsidRPr="00BA5F4C">
        <w:rPr>
          <w:rFonts w:ascii="Calibri" w:eastAsia="Calibri" w:hAnsi="Calibri" w:cs="Calibri"/>
          <w:i/>
          <w:iCs/>
          <w:color w:val="000000"/>
          <w:sz w:val="22"/>
          <w:lang w:val="en-US" w:eastAsia="es-MX"/>
        </w:rPr>
        <w:t>39</w:t>
      </w:r>
      <w:r w:rsidRPr="00BA5F4C">
        <w:rPr>
          <w:rFonts w:ascii="Calibri" w:eastAsia="Calibri" w:hAnsi="Calibri" w:cs="Calibri"/>
          <w:color w:val="000000"/>
          <w:sz w:val="22"/>
          <w:lang w:val="en-US" w:eastAsia="es-MX"/>
        </w:rPr>
        <w:t xml:space="preserve"> (4), 765</w:t>
      </w:r>
      <w:r w:rsidR="001D23D1">
        <w:rPr>
          <w:rFonts w:ascii="Calibri" w:eastAsia="Calibri" w:hAnsi="Calibri" w:cs="Calibri"/>
          <w:color w:val="000000"/>
          <w:sz w:val="22"/>
          <w:lang w:val="en-US" w:eastAsia="es-MX"/>
        </w:rPr>
        <w:t>-</w:t>
      </w:r>
      <w:r w:rsidRPr="00BA5F4C">
        <w:rPr>
          <w:rFonts w:ascii="Calibri" w:eastAsia="Calibri" w:hAnsi="Calibri" w:cs="Calibri"/>
          <w:color w:val="000000"/>
          <w:sz w:val="22"/>
          <w:lang w:val="en-US" w:eastAsia="es-MX"/>
        </w:rPr>
        <w:t xml:space="preserve">778. </w:t>
      </w:r>
      <w:hyperlink r:id="rId24" w:history="1">
        <w:r w:rsidRPr="00BA5F4C">
          <w:rPr>
            <w:rFonts w:ascii="Calibri" w:eastAsia="Calibri" w:hAnsi="Calibri" w:cs="Calibri"/>
            <w:color w:val="B85A22"/>
            <w:sz w:val="22"/>
            <w:u w:val="single"/>
            <w:lang w:val="en-US" w:eastAsia="es-MX"/>
          </w:rPr>
          <w:t>https://doi.org/10.1093/oxrep/grad03</w:t>
        </w:r>
        <w:r w:rsidRPr="00BA5F4C">
          <w:rPr>
            <w:rFonts w:ascii="Calibri" w:eastAsia="Century Gothic" w:hAnsi="Calibri" w:cs="Calibri"/>
            <w:color w:val="B85A22"/>
            <w:sz w:val="22"/>
            <w:u w:val="single"/>
            <w:lang w:val="en-US" w:eastAsia="es-MX"/>
          </w:rPr>
          <w:t>8</w:t>
        </w:r>
      </w:hyperlink>
      <w:r w:rsidRPr="00BA5F4C">
        <w:rPr>
          <w:rFonts w:ascii="Calibri" w:eastAsia="Century Gothic" w:hAnsi="Calibri" w:cs="Calibri"/>
          <w:sz w:val="22"/>
          <w:lang w:val="en-US" w:eastAsia="es-MX"/>
        </w:rPr>
        <w:t xml:space="preserve"> </w:t>
      </w:r>
    </w:p>
    <w:p w14:paraId="5C0465FE"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n-US" w:eastAsia="es-MX"/>
        </w:rPr>
      </w:pPr>
      <w:r w:rsidRPr="00BA5F4C">
        <w:rPr>
          <w:rFonts w:ascii="Calibri" w:eastAsia="Calibri" w:hAnsi="Calibri" w:cs="Calibri"/>
          <w:color w:val="000000"/>
          <w:sz w:val="22"/>
          <w:lang w:val="en-US" w:eastAsia="es-MX"/>
        </w:rPr>
        <w:t xml:space="preserve">International Energy Agency. (2023a). </w:t>
      </w:r>
      <w:r w:rsidRPr="00BA5F4C">
        <w:rPr>
          <w:rFonts w:ascii="Calibri" w:eastAsia="Calibri" w:hAnsi="Calibri" w:cs="Calibri"/>
          <w:i/>
          <w:iCs/>
          <w:color w:val="000000"/>
          <w:sz w:val="22"/>
          <w:lang w:val="en-US" w:eastAsia="es-MX"/>
        </w:rPr>
        <w:t>Denmark 2023: Energy policy review</w:t>
      </w:r>
      <w:r w:rsidRPr="00BA5F4C">
        <w:rPr>
          <w:rFonts w:ascii="Calibri" w:eastAsia="Calibri" w:hAnsi="Calibri" w:cs="Calibri"/>
          <w:color w:val="000000"/>
          <w:sz w:val="22"/>
          <w:lang w:val="en-US" w:eastAsia="es-MX"/>
        </w:rPr>
        <w:t>.</w:t>
      </w:r>
      <w:hyperlink r:id="rId25" w:history="1">
        <w:r w:rsidRPr="00BA5F4C">
          <w:rPr>
            <w:rFonts w:ascii="Calibri" w:eastAsia="Calibri" w:hAnsi="Calibri" w:cs="Calibri"/>
            <w:color w:val="B85A22"/>
            <w:sz w:val="22"/>
            <w:u w:val="single"/>
            <w:lang w:val="en-US" w:eastAsia="es-MX"/>
          </w:rPr>
          <w:t xml:space="preserve"> </w:t>
        </w:r>
      </w:hyperlink>
      <w:r w:rsidRPr="00BA5F4C">
        <w:rPr>
          <w:rFonts w:ascii="Calibri" w:eastAsia="Century Gothic" w:hAnsi="Calibri" w:cs="Calibri"/>
          <w:sz w:val="22"/>
          <w:lang w:val="en-US" w:eastAsia="es-MX"/>
        </w:rPr>
        <w:t xml:space="preserve"> </w:t>
      </w:r>
      <w:hyperlink r:id="rId26" w:history="1">
        <w:r w:rsidRPr="00BA5F4C">
          <w:rPr>
            <w:rFonts w:ascii="Calibri" w:eastAsia="Century Gothic" w:hAnsi="Calibri" w:cs="Calibri"/>
            <w:color w:val="B85A22"/>
            <w:sz w:val="22"/>
            <w:u w:val="single"/>
            <w:lang w:val="en-US" w:eastAsia="es-MX"/>
          </w:rPr>
          <w:t>https://n9.cl/9uvllm</w:t>
        </w:r>
      </w:hyperlink>
    </w:p>
    <w:p w14:paraId="2FC9992A"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n-US" w:eastAsia="es-MX"/>
        </w:rPr>
      </w:pPr>
      <w:r w:rsidRPr="00BA5F4C">
        <w:rPr>
          <w:rFonts w:ascii="Calibri" w:eastAsia="Calibri" w:hAnsi="Calibri" w:cs="Calibri"/>
          <w:color w:val="000000"/>
          <w:sz w:val="22"/>
          <w:lang w:val="en-US" w:eastAsia="es-MX"/>
        </w:rPr>
        <w:t xml:space="preserve">International Energy Agency. (2023b). </w:t>
      </w:r>
      <w:r w:rsidRPr="00BA5F4C">
        <w:rPr>
          <w:rFonts w:ascii="Calibri" w:eastAsia="Calibri" w:hAnsi="Calibri" w:cs="Calibri"/>
          <w:i/>
          <w:iCs/>
          <w:color w:val="000000"/>
          <w:sz w:val="22"/>
          <w:lang w:val="en-US" w:eastAsia="es-MX"/>
        </w:rPr>
        <w:t xml:space="preserve">Efficiency and demand - Mexico. </w:t>
      </w:r>
      <w:hyperlink r:id="rId27" w:history="1">
        <w:r w:rsidRPr="00BA5F4C">
          <w:rPr>
            <w:rFonts w:ascii="Calibri" w:eastAsia="Century Gothic" w:hAnsi="Calibri" w:cs="Calibri"/>
            <w:color w:val="B85A22"/>
            <w:sz w:val="22"/>
            <w:u w:val="single"/>
            <w:lang w:val="en-US" w:eastAsia="es-MX"/>
          </w:rPr>
          <w:t>https://acortar.link/51zhWd</w:t>
        </w:r>
      </w:hyperlink>
    </w:p>
    <w:p w14:paraId="6405BC91"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US" w:eastAsia="es-MX"/>
        </w:rPr>
      </w:pPr>
      <w:r w:rsidRPr="00BA5F4C">
        <w:rPr>
          <w:rFonts w:ascii="Calibri" w:eastAsia="Calibri" w:hAnsi="Calibri" w:cs="Calibri"/>
          <w:color w:val="000000"/>
          <w:sz w:val="22"/>
          <w:lang w:val="en-US" w:eastAsia="es-MX"/>
        </w:rPr>
        <w:t xml:space="preserve">International Renewable Energy Agency. (2022). </w:t>
      </w:r>
      <w:r w:rsidRPr="00BA5F4C">
        <w:rPr>
          <w:rFonts w:ascii="Calibri" w:eastAsia="Calibri" w:hAnsi="Calibri" w:cs="Calibri"/>
          <w:i/>
          <w:iCs/>
          <w:color w:val="000000"/>
          <w:sz w:val="22"/>
          <w:lang w:val="en-US" w:eastAsia="es-MX"/>
        </w:rPr>
        <w:t>Renewable power generation costs in 2022.</w:t>
      </w:r>
      <w:r w:rsidRPr="00BA5F4C">
        <w:rPr>
          <w:rFonts w:ascii="Calibri" w:eastAsia="Calibri" w:hAnsi="Calibri" w:cs="Calibri"/>
          <w:color w:val="000000"/>
          <w:sz w:val="22"/>
          <w:lang w:val="en-US" w:eastAsia="es-MX"/>
        </w:rPr>
        <w:t xml:space="preserve"> </w:t>
      </w:r>
      <w:hyperlink r:id="rId28" w:history="1">
        <w:r w:rsidRPr="00BA5F4C">
          <w:rPr>
            <w:rFonts w:ascii="Calibri" w:eastAsia="Calibri" w:hAnsi="Calibri" w:cs="Calibri"/>
            <w:color w:val="B85A22"/>
            <w:sz w:val="22"/>
            <w:u w:val="single"/>
            <w:lang w:val="es-US" w:eastAsia="es-MX"/>
          </w:rPr>
          <w:t>https://acortar.link/Hi1Cv0</w:t>
        </w:r>
      </w:hyperlink>
      <w:r w:rsidRPr="00BA5F4C">
        <w:rPr>
          <w:rFonts w:ascii="Calibri" w:eastAsia="Calibri" w:hAnsi="Calibri" w:cs="Calibri"/>
          <w:color w:val="000000"/>
          <w:sz w:val="22"/>
          <w:lang w:val="es-US" w:eastAsia="es-MX"/>
        </w:rPr>
        <w:t xml:space="preserve"> </w:t>
      </w:r>
    </w:p>
    <w:p w14:paraId="4B1FFE7C" w14:textId="77777777" w:rsidR="00BA5F4C" w:rsidRPr="00D37093"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US" w:eastAsia="es-MX"/>
        </w:rPr>
      </w:pPr>
      <w:r w:rsidRPr="00BA5F4C">
        <w:rPr>
          <w:rFonts w:ascii="Calibri" w:eastAsia="Calibri" w:hAnsi="Calibri" w:cs="Calibri"/>
          <w:color w:val="000000"/>
          <w:sz w:val="22"/>
          <w:lang w:val="es-US" w:eastAsia="es-MX"/>
        </w:rPr>
        <w:t xml:space="preserve">Karimi, K. y Karimi, A. F. (2025). </w:t>
      </w:r>
      <w:r w:rsidRPr="00BA5F4C">
        <w:rPr>
          <w:rFonts w:ascii="Calibri" w:eastAsia="Calibri" w:hAnsi="Calibri" w:cs="Calibri"/>
          <w:color w:val="000000"/>
          <w:sz w:val="22"/>
          <w:lang w:val="en-US" w:eastAsia="es-MX"/>
        </w:rPr>
        <w:t xml:space="preserve">The economic impacts of renewable energy adoption: A comparative analysis of developed and developing nations. </w:t>
      </w:r>
      <w:r w:rsidRPr="00D37093">
        <w:rPr>
          <w:rFonts w:ascii="Calibri" w:eastAsia="Calibri" w:hAnsi="Calibri" w:cs="Calibri"/>
          <w:i/>
          <w:iCs/>
          <w:color w:val="000000"/>
          <w:sz w:val="22"/>
          <w:lang w:val="es-US" w:eastAsia="es-MX"/>
        </w:rPr>
        <w:t>Journal of Social Science, 2</w:t>
      </w:r>
      <w:r w:rsidRPr="00D37093">
        <w:rPr>
          <w:rFonts w:ascii="Calibri" w:eastAsia="Calibri" w:hAnsi="Calibri" w:cs="Calibri"/>
          <w:color w:val="000000"/>
          <w:sz w:val="22"/>
          <w:lang w:val="es-US" w:eastAsia="es-MX"/>
        </w:rPr>
        <w:t xml:space="preserve">(1), 32-46.  </w:t>
      </w:r>
      <w:hyperlink r:id="rId29" w:history="1">
        <w:r w:rsidRPr="00D37093">
          <w:rPr>
            <w:rFonts w:ascii="Calibri" w:eastAsia="Century Gothic" w:hAnsi="Calibri" w:cs="Calibri"/>
            <w:color w:val="B85A22"/>
            <w:sz w:val="22"/>
            <w:u w:val="single"/>
            <w:lang w:val="es-US" w:eastAsia="es-MX"/>
          </w:rPr>
          <w:t>https://acortar.link/76cYTd</w:t>
        </w:r>
      </w:hyperlink>
      <w:r w:rsidRPr="00D37093">
        <w:rPr>
          <w:rFonts w:ascii="Calibri" w:eastAsia="Century Gothic" w:hAnsi="Calibri" w:cs="Calibri"/>
          <w:sz w:val="22"/>
          <w:lang w:val="es-US" w:eastAsia="es-MX"/>
        </w:rPr>
        <w:t xml:space="preserve"> </w:t>
      </w:r>
    </w:p>
    <w:p w14:paraId="2572C5E6"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u w:val="single"/>
          <w:lang w:val="es-MX" w:eastAsia="es-MX"/>
        </w:rPr>
      </w:pPr>
      <w:r w:rsidRPr="00D37093">
        <w:rPr>
          <w:rFonts w:ascii="Calibri" w:eastAsia="Calibri" w:hAnsi="Calibri" w:cs="Calibri"/>
          <w:color w:val="000000"/>
          <w:sz w:val="22"/>
          <w:lang w:val="es-US" w:eastAsia="es-MX"/>
        </w:rPr>
        <w:t xml:space="preserve">Larrea, M. y Mosquera, S. (2024). </w:t>
      </w:r>
      <w:r w:rsidRPr="00BA5F4C">
        <w:rPr>
          <w:rFonts w:ascii="Calibri" w:eastAsia="Calibri" w:hAnsi="Calibri" w:cs="Calibri"/>
          <w:color w:val="000000"/>
          <w:sz w:val="22"/>
          <w:lang w:val="es-MX" w:eastAsia="es-MX"/>
        </w:rPr>
        <w:t xml:space="preserve">Incentivos a la inversión en tecnologías limpias. </w:t>
      </w:r>
      <w:r w:rsidRPr="00BA5F4C">
        <w:rPr>
          <w:rFonts w:ascii="Calibri" w:eastAsia="Calibri" w:hAnsi="Calibri" w:cs="Calibri"/>
          <w:i/>
          <w:iCs/>
          <w:color w:val="000000"/>
          <w:sz w:val="22"/>
          <w:lang w:val="es-MX" w:eastAsia="es-MX"/>
        </w:rPr>
        <w:t xml:space="preserve">Cuadernos </w:t>
      </w:r>
      <w:proofErr w:type="spellStart"/>
      <w:r w:rsidRPr="00BA5F4C">
        <w:rPr>
          <w:rFonts w:ascii="Calibri" w:eastAsia="Calibri" w:hAnsi="Calibri" w:cs="Calibri"/>
          <w:i/>
          <w:iCs/>
          <w:color w:val="000000"/>
          <w:sz w:val="22"/>
          <w:lang w:val="es-MX" w:eastAsia="es-MX"/>
        </w:rPr>
        <w:t>Orkestra</w:t>
      </w:r>
      <w:proofErr w:type="spellEnd"/>
      <w:r w:rsidRPr="00BA5F4C">
        <w:rPr>
          <w:rFonts w:ascii="Calibri" w:eastAsia="Calibri" w:hAnsi="Calibri" w:cs="Calibri"/>
          <w:color w:val="000000"/>
          <w:sz w:val="22"/>
          <w:lang w:val="es-MX" w:eastAsia="es-MX"/>
        </w:rPr>
        <w:t>. Instituto Vasco de Competitividad-Fundación Deusto.</w:t>
      </w:r>
      <w:hyperlink r:id="rId30">
        <w:r w:rsidRPr="00BA5F4C">
          <w:rPr>
            <w:rFonts w:ascii="Calibri" w:eastAsia="Calibri" w:hAnsi="Calibri" w:cs="Calibri"/>
            <w:color w:val="000000"/>
            <w:sz w:val="22"/>
            <w:lang w:val="es-MX" w:eastAsia="es-MX"/>
          </w:rPr>
          <w:t xml:space="preserve"> </w:t>
        </w:r>
      </w:hyperlink>
      <w:hyperlink r:id="rId31" w:history="1">
        <w:r w:rsidRPr="00BA5F4C">
          <w:rPr>
            <w:rFonts w:ascii="Calibri" w:eastAsia="Calibri" w:hAnsi="Calibri" w:cs="Calibri"/>
            <w:color w:val="B85A22"/>
            <w:sz w:val="22"/>
            <w:u w:val="single"/>
            <w:lang w:val="es-MX" w:eastAsia="es-MX"/>
          </w:rPr>
          <w:t>https://doi.org/10.18543/YBXZ230</w:t>
        </w:r>
        <w:r w:rsidRPr="00BA5F4C">
          <w:rPr>
            <w:rFonts w:ascii="Calibri" w:eastAsia="Century Gothic" w:hAnsi="Calibri" w:cs="Calibri"/>
            <w:color w:val="B85A22"/>
            <w:sz w:val="22"/>
            <w:u w:val="single"/>
            <w:lang w:val="es-MX" w:eastAsia="es-MX"/>
          </w:rPr>
          <w:t>0</w:t>
        </w:r>
      </w:hyperlink>
    </w:p>
    <w:p w14:paraId="3F1EBCC8"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MX" w:eastAsia="es-MX"/>
        </w:rPr>
      </w:pPr>
      <w:r w:rsidRPr="00BA5F4C">
        <w:rPr>
          <w:rFonts w:ascii="Calibri" w:eastAsia="Calibri" w:hAnsi="Calibri" w:cs="Calibri"/>
          <w:color w:val="000000"/>
          <w:sz w:val="22"/>
          <w:lang w:val="es-US" w:eastAsia="es-MX"/>
        </w:rPr>
        <w:t xml:space="preserve">Masera, O, Ferrari, L., y </w:t>
      </w:r>
      <w:proofErr w:type="spellStart"/>
      <w:r w:rsidRPr="00BA5F4C">
        <w:rPr>
          <w:rFonts w:ascii="Calibri" w:eastAsia="Calibri" w:hAnsi="Calibri" w:cs="Calibri"/>
          <w:color w:val="000000"/>
          <w:sz w:val="22"/>
          <w:lang w:val="es-US" w:eastAsia="es-MX"/>
        </w:rPr>
        <w:t>Straffon</w:t>
      </w:r>
      <w:proofErr w:type="spellEnd"/>
      <w:r w:rsidRPr="00BA5F4C">
        <w:rPr>
          <w:rFonts w:ascii="Calibri" w:eastAsia="Calibri" w:hAnsi="Calibri" w:cs="Calibri"/>
          <w:color w:val="000000"/>
          <w:sz w:val="22"/>
          <w:lang w:val="es-US" w:eastAsia="es-MX"/>
        </w:rPr>
        <w:t xml:space="preserve">, A. (2023). </w:t>
      </w:r>
      <w:r w:rsidRPr="00BA5F4C">
        <w:rPr>
          <w:rFonts w:ascii="Calibri" w:eastAsia="Calibri" w:hAnsi="Calibri" w:cs="Calibri"/>
          <w:i/>
          <w:iCs/>
          <w:color w:val="000000"/>
          <w:sz w:val="22"/>
          <w:lang w:val="es-MX" w:eastAsia="es-MX"/>
        </w:rPr>
        <w:t xml:space="preserve">Transición energética justa y sustentable: Contexto y estrategias para México. </w:t>
      </w:r>
      <w:r w:rsidRPr="00BA5F4C">
        <w:rPr>
          <w:rFonts w:ascii="Calibri" w:eastAsia="Calibri" w:hAnsi="Calibri" w:cs="Calibri"/>
          <w:color w:val="000000"/>
          <w:sz w:val="22"/>
          <w:lang w:val="es-MX" w:eastAsia="es-MX"/>
        </w:rPr>
        <w:t xml:space="preserve">Revista Maya. </w:t>
      </w:r>
      <w:hyperlink r:id="rId32" w:history="1">
        <w:r w:rsidRPr="00BA5F4C">
          <w:rPr>
            <w:rFonts w:ascii="Calibri" w:eastAsia="Calibri" w:hAnsi="Calibri" w:cs="Calibri"/>
            <w:color w:val="B85A22"/>
            <w:sz w:val="22"/>
            <w:u w:val="single"/>
            <w:lang w:val="es-MX" w:eastAsia="es-MX"/>
          </w:rPr>
          <w:t>https://acortar.link/f5nQpH</w:t>
        </w:r>
      </w:hyperlink>
      <w:r w:rsidRPr="00BA5F4C">
        <w:rPr>
          <w:rFonts w:ascii="Calibri" w:eastAsia="Calibri" w:hAnsi="Calibri" w:cs="Calibri"/>
          <w:color w:val="000000"/>
          <w:sz w:val="22"/>
          <w:lang w:val="es-MX" w:eastAsia="es-MX"/>
        </w:rPr>
        <w:t xml:space="preserve"> </w:t>
      </w:r>
    </w:p>
    <w:p w14:paraId="193D0F4A"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MX" w:eastAsia="es-MX"/>
        </w:rPr>
      </w:pPr>
      <w:r w:rsidRPr="00BA5F4C">
        <w:rPr>
          <w:rFonts w:ascii="Calibri" w:eastAsia="Century Gothic" w:hAnsi="Calibri" w:cs="Calibri"/>
          <w:sz w:val="22"/>
          <w:lang w:val="es-MX" w:eastAsia="es-MX"/>
        </w:rPr>
        <w:t xml:space="preserve"> </w:t>
      </w:r>
      <w:r w:rsidRPr="00BA5F4C">
        <w:rPr>
          <w:rFonts w:ascii="Calibri" w:eastAsia="Calibri" w:hAnsi="Calibri" w:cs="Calibri"/>
          <w:color w:val="000000"/>
          <w:sz w:val="22"/>
          <w:lang w:val="es-MX" w:eastAsia="es-MX"/>
        </w:rPr>
        <w:t xml:space="preserve">Moreno, Z. (2022). </w:t>
      </w:r>
      <w:r w:rsidRPr="00BA5F4C">
        <w:rPr>
          <w:rFonts w:ascii="Calibri" w:eastAsia="Calibri" w:hAnsi="Calibri" w:cs="Calibri"/>
          <w:i/>
          <w:iCs/>
          <w:color w:val="000000"/>
          <w:sz w:val="22"/>
          <w:lang w:val="es-MX" w:eastAsia="es-MX"/>
        </w:rPr>
        <w:t xml:space="preserve">Modelo metodológico para la planeación y gestión de proyectos de desarrollo de software en las fábricas académicas de software </w:t>
      </w:r>
      <w:r w:rsidRPr="00BA5F4C">
        <w:rPr>
          <w:rFonts w:ascii="Calibri" w:eastAsia="Calibri" w:hAnsi="Calibri" w:cs="Calibri"/>
          <w:color w:val="000000"/>
          <w:sz w:val="22"/>
          <w:lang w:val="es-MX" w:eastAsia="es-MX"/>
        </w:rPr>
        <w:t>[Tesis de doctorado no publicada]. Universidad Centro Panamericano de Estudios Superiores.</w:t>
      </w:r>
    </w:p>
    <w:p w14:paraId="56803A10"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n-US" w:eastAsia="es-MX"/>
        </w:rPr>
      </w:pPr>
      <w:r w:rsidRPr="00BA5F4C">
        <w:rPr>
          <w:rFonts w:ascii="Calibri" w:eastAsia="Calibri" w:hAnsi="Calibri" w:cs="Calibri"/>
          <w:color w:val="000000"/>
          <w:sz w:val="22"/>
          <w:lang w:val="es-MX" w:eastAsia="es-MX"/>
        </w:rPr>
        <w:t xml:space="preserve">Rivas, L. (2015). </w:t>
      </w:r>
      <w:r w:rsidRPr="00BA5F4C">
        <w:rPr>
          <w:rFonts w:ascii="Calibri" w:eastAsia="Calibri" w:hAnsi="Calibri" w:cs="Calibri"/>
          <w:i/>
          <w:iCs/>
          <w:color w:val="000000"/>
          <w:sz w:val="22"/>
          <w:lang w:val="es-MX" w:eastAsia="es-MX"/>
        </w:rPr>
        <w:t>Definición de variables o categorías de análisis</w:t>
      </w:r>
      <w:r w:rsidRPr="00BA5F4C">
        <w:rPr>
          <w:rFonts w:ascii="Calibri" w:eastAsia="Calibri" w:hAnsi="Calibri" w:cs="Calibri"/>
          <w:color w:val="000000"/>
          <w:sz w:val="22"/>
          <w:lang w:val="es-MX" w:eastAsia="es-MX"/>
        </w:rPr>
        <w:t xml:space="preserve">. </w:t>
      </w:r>
      <w:r w:rsidRPr="00BA5F4C">
        <w:rPr>
          <w:rFonts w:ascii="Calibri" w:eastAsia="Calibri" w:hAnsi="Calibri" w:cs="Calibri"/>
          <w:color w:val="000000"/>
          <w:sz w:val="22"/>
          <w:lang w:val="en-US" w:eastAsia="es-MX"/>
        </w:rPr>
        <w:t>Taller Abierto.</w:t>
      </w:r>
    </w:p>
    <w:p w14:paraId="104049CA"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s-MX" w:eastAsia="es-MX"/>
        </w:rPr>
      </w:pPr>
      <w:r w:rsidRPr="00BA5F4C">
        <w:rPr>
          <w:rFonts w:ascii="Calibri" w:eastAsia="Calibri" w:hAnsi="Calibri" w:cs="Calibri"/>
          <w:color w:val="000000"/>
          <w:sz w:val="22"/>
          <w:lang w:val="en-US" w:eastAsia="es-MX"/>
        </w:rPr>
        <w:t xml:space="preserve">Sadukhan, J., Sen, S. y </w:t>
      </w:r>
      <w:proofErr w:type="spellStart"/>
      <w:r w:rsidRPr="00BA5F4C">
        <w:rPr>
          <w:rFonts w:ascii="Calibri" w:eastAsia="Calibri" w:hAnsi="Calibri" w:cs="Calibri"/>
          <w:color w:val="000000"/>
          <w:sz w:val="22"/>
          <w:lang w:val="en-US" w:eastAsia="es-MX"/>
        </w:rPr>
        <w:t>Randriamahefasoa</w:t>
      </w:r>
      <w:proofErr w:type="spellEnd"/>
      <w:r w:rsidRPr="00BA5F4C">
        <w:rPr>
          <w:rFonts w:ascii="Calibri" w:eastAsia="Calibri" w:hAnsi="Calibri" w:cs="Calibri"/>
          <w:color w:val="000000"/>
          <w:sz w:val="22"/>
          <w:lang w:val="en-US" w:eastAsia="es-MX"/>
        </w:rPr>
        <w:t xml:space="preserve">, T. (2024). Framework for optimal energy storage duration for maximum-reliability renewable electricity. </w:t>
      </w:r>
      <w:proofErr w:type="spellStart"/>
      <w:r w:rsidRPr="00BA5F4C">
        <w:rPr>
          <w:rFonts w:ascii="Calibri" w:eastAsia="Calibri" w:hAnsi="Calibri" w:cs="Calibri"/>
          <w:i/>
          <w:iCs/>
          <w:color w:val="000000"/>
          <w:sz w:val="22"/>
          <w:lang w:val="es-US" w:eastAsia="es-MX"/>
        </w:rPr>
        <w:t>Frontiers</w:t>
      </w:r>
      <w:proofErr w:type="spellEnd"/>
      <w:r w:rsidRPr="00BA5F4C">
        <w:rPr>
          <w:rFonts w:ascii="Calibri" w:eastAsia="Calibri" w:hAnsi="Calibri" w:cs="Calibri"/>
          <w:i/>
          <w:iCs/>
          <w:color w:val="000000"/>
          <w:sz w:val="22"/>
          <w:lang w:val="es-US" w:eastAsia="es-MX"/>
        </w:rPr>
        <w:t xml:space="preserve"> in Energy </w:t>
      </w:r>
      <w:proofErr w:type="spellStart"/>
      <w:r w:rsidRPr="00BA5F4C">
        <w:rPr>
          <w:rFonts w:ascii="Calibri" w:eastAsia="Calibri" w:hAnsi="Calibri" w:cs="Calibri"/>
          <w:i/>
          <w:iCs/>
          <w:color w:val="000000"/>
          <w:sz w:val="22"/>
          <w:lang w:val="es-US" w:eastAsia="es-MX"/>
        </w:rPr>
        <w:t>Research</w:t>
      </w:r>
      <w:proofErr w:type="spellEnd"/>
      <w:r w:rsidRPr="00BA5F4C">
        <w:rPr>
          <w:rFonts w:ascii="Calibri" w:eastAsia="Calibri" w:hAnsi="Calibri" w:cs="Calibri"/>
          <w:color w:val="000000"/>
          <w:sz w:val="22"/>
          <w:lang w:val="es-US" w:eastAsia="es-MX"/>
        </w:rPr>
        <w:t xml:space="preserve">, </w:t>
      </w:r>
      <w:r w:rsidRPr="00BA5F4C">
        <w:rPr>
          <w:rFonts w:ascii="Calibri" w:eastAsia="Calibri" w:hAnsi="Calibri" w:cs="Calibri"/>
          <w:i/>
          <w:iCs/>
          <w:color w:val="000000"/>
          <w:sz w:val="22"/>
          <w:lang w:val="es-US" w:eastAsia="es-MX"/>
        </w:rPr>
        <w:t>12,</w:t>
      </w:r>
      <w:r w:rsidRPr="00BA5F4C">
        <w:rPr>
          <w:rFonts w:ascii="Calibri" w:eastAsia="Calibri" w:hAnsi="Calibri" w:cs="Calibri"/>
          <w:color w:val="000000"/>
          <w:sz w:val="22"/>
          <w:lang w:val="es-US" w:eastAsia="es-MX"/>
        </w:rPr>
        <w:t xml:space="preserve"> 1430413. </w:t>
      </w:r>
      <w:hyperlink r:id="rId33" w:history="1">
        <w:r w:rsidRPr="00BA5F4C">
          <w:rPr>
            <w:rFonts w:ascii="Calibri" w:eastAsia="Calibri" w:hAnsi="Calibri" w:cs="Calibri"/>
            <w:color w:val="B85A22"/>
            <w:sz w:val="22"/>
            <w:u w:val="single"/>
            <w:lang w:val="es-US" w:eastAsia="es-MX"/>
          </w:rPr>
          <w:t>https://doi.org/10.3389/fenrg.2024.143041</w:t>
        </w:r>
        <w:r w:rsidRPr="00BA5F4C">
          <w:rPr>
            <w:rFonts w:ascii="Calibri" w:eastAsia="Century Gothic" w:hAnsi="Calibri" w:cs="Calibri"/>
            <w:color w:val="B85A22"/>
            <w:sz w:val="22"/>
            <w:u w:val="single"/>
            <w:lang w:val="es-MX" w:eastAsia="es-MX"/>
          </w:rPr>
          <w:t>3</w:t>
        </w:r>
      </w:hyperlink>
      <w:r w:rsidRPr="00BA5F4C">
        <w:rPr>
          <w:rFonts w:ascii="Calibri" w:eastAsia="Century Gothic" w:hAnsi="Calibri" w:cs="Calibri"/>
          <w:sz w:val="22"/>
          <w:lang w:val="es-MX" w:eastAsia="es-MX"/>
        </w:rPr>
        <w:t xml:space="preserve"> </w:t>
      </w:r>
    </w:p>
    <w:p w14:paraId="0D5B72EC"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s-US" w:eastAsia="es-MX"/>
        </w:rPr>
      </w:pPr>
      <w:r w:rsidRPr="00BA5F4C">
        <w:rPr>
          <w:rFonts w:ascii="Calibri" w:eastAsia="Calibri" w:hAnsi="Calibri" w:cs="Calibri"/>
          <w:color w:val="000000"/>
          <w:sz w:val="22"/>
          <w:lang w:val="es-MX" w:eastAsia="es-MX"/>
        </w:rPr>
        <w:t>Secretaría de Energía. (2023).</w:t>
      </w:r>
      <w:r w:rsidRPr="00BA5F4C">
        <w:rPr>
          <w:rFonts w:ascii="Calibri" w:eastAsia="Calibri" w:hAnsi="Calibri" w:cs="Calibri"/>
          <w:i/>
          <w:iCs/>
          <w:color w:val="000000"/>
          <w:sz w:val="22"/>
          <w:lang w:val="es-MX" w:eastAsia="es-MX"/>
        </w:rPr>
        <w:t xml:space="preserve"> Programa de desarrollo del sistema eléctrico nacional 2023-2037</w:t>
      </w:r>
      <w:r w:rsidRPr="00BA5F4C">
        <w:rPr>
          <w:rFonts w:ascii="Calibri" w:eastAsia="Calibri" w:hAnsi="Calibri" w:cs="Calibri"/>
          <w:color w:val="000000"/>
          <w:sz w:val="22"/>
          <w:lang w:val="es-MX" w:eastAsia="es-MX"/>
        </w:rPr>
        <w:t xml:space="preserve">. </w:t>
      </w:r>
      <w:hyperlink r:id="rId34" w:history="1">
        <w:r w:rsidRPr="00BA5F4C">
          <w:rPr>
            <w:rFonts w:ascii="Calibri" w:eastAsia="Century Gothic" w:hAnsi="Calibri" w:cs="Calibri"/>
            <w:color w:val="B85A22"/>
            <w:sz w:val="22"/>
            <w:u w:val="single"/>
            <w:lang w:val="es-US" w:eastAsia="es-MX"/>
          </w:rPr>
          <w:t>https://acortar.link/4RKuaN</w:t>
        </w:r>
      </w:hyperlink>
      <w:r w:rsidRPr="00BA5F4C">
        <w:rPr>
          <w:rFonts w:ascii="Calibri" w:eastAsia="Century Gothic" w:hAnsi="Calibri" w:cs="Calibri"/>
          <w:sz w:val="22"/>
          <w:lang w:val="es-US" w:eastAsia="es-MX"/>
        </w:rPr>
        <w:t xml:space="preserve"> </w:t>
      </w:r>
    </w:p>
    <w:p w14:paraId="0854857B"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n-US" w:eastAsia="es-MX"/>
        </w:rPr>
      </w:pPr>
      <w:r w:rsidRPr="00BA5F4C">
        <w:rPr>
          <w:rFonts w:ascii="Calibri" w:eastAsia="Calibri" w:hAnsi="Calibri" w:cs="Calibri"/>
          <w:color w:val="000000"/>
          <w:sz w:val="22"/>
          <w:lang w:val="es-US" w:eastAsia="es-MX"/>
        </w:rPr>
        <w:t xml:space="preserve">Secretaría de Energía. </w:t>
      </w:r>
      <w:r w:rsidRPr="00BA5F4C">
        <w:rPr>
          <w:rFonts w:ascii="Calibri" w:eastAsia="Calibri" w:hAnsi="Calibri" w:cs="Calibri"/>
          <w:color w:val="000000"/>
          <w:sz w:val="22"/>
          <w:lang w:val="es-MX" w:eastAsia="es-MX"/>
        </w:rPr>
        <w:t xml:space="preserve">(2025). </w:t>
      </w:r>
      <w:r w:rsidRPr="00BA5F4C">
        <w:rPr>
          <w:rFonts w:ascii="Calibri" w:eastAsia="Calibri" w:hAnsi="Calibri" w:cs="Calibri"/>
          <w:i/>
          <w:iCs/>
          <w:color w:val="000000"/>
          <w:sz w:val="22"/>
          <w:lang w:val="es-MX" w:eastAsia="es-MX"/>
        </w:rPr>
        <w:t>Informe pormenorizado sobre el desempeño y las tendencias de la industria eléctrica nacional.</w:t>
      </w:r>
      <w:r w:rsidRPr="00BA5F4C">
        <w:rPr>
          <w:rFonts w:ascii="Calibri" w:eastAsia="Calibri" w:hAnsi="Calibri" w:cs="Calibri"/>
          <w:color w:val="000000"/>
          <w:sz w:val="22"/>
          <w:lang w:val="es-MX" w:eastAsia="es-MX"/>
        </w:rPr>
        <w:t xml:space="preserve"> </w:t>
      </w:r>
      <w:hyperlink r:id="rId35" w:history="1">
        <w:r w:rsidRPr="00BA5F4C">
          <w:rPr>
            <w:rFonts w:ascii="Calibri" w:eastAsia="Century Gothic" w:hAnsi="Calibri" w:cs="Calibri"/>
            <w:color w:val="B85A22"/>
            <w:sz w:val="22"/>
            <w:u w:val="single"/>
            <w:lang w:val="en-US" w:eastAsia="es-MX"/>
          </w:rPr>
          <w:t>https://acortar.link/MZhTk8</w:t>
        </w:r>
      </w:hyperlink>
      <w:r w:rsidRPr="00BA5F4C">
        <w:rPr>
          <w:rFonts w:ascii="Calibri" w:eastAsia="Century Gothic" w:hAnsi="Calibri" w:cs="Calibri"/>
          <w:sz w:val="22"/>
          <w:lang w:val="en-US" w:eastAsia="es-MX"/>
        </w:rPr>
        <w:t xml:space="preserve"> </w:t>
      </w:r>
    </w:p>
    <w:p w14:paraId="2D916693"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n-US" w:eastAsia="es-MX"/>
        </w:rPr>
      </w:pPr>
      <w:proofErr w:type="spellStart"/>
      <w:r w:rsidRPr="00BA5F4C">
        <w:rPr>
          <w:rFonts w:ascii="Calibri" w:eastAsia="Calibri" w:hAnsi="Calibri" w:cs="Calibri"/>
          <w:color w:val="000000"/>
          <w:sz w:val="22"/>
          <w:lang w:val="en-US" w:eastAsia="es-MX"/>
        </w:rPr>
        <w:t>Sovacool</w:t>
      </w:r>
      <w:proofErr w:type="spellEnd"/>
      <w:r w:rsidRPr="00BA5F4C">
        <w:rPr>
          <w:rFonts w:ascii="Calibri" w:eastAsia="Calibri" w:hAnsi="Calibri" w:cs="Calibri"/>
          <w:color w:val="000000"/>
          <w:sz w:val="22"/>
          <w:lang w:val="en-US" w:eastAsia="es-MX"/>
        </w:rPr>
        <w:t xml:space="preserve">, B. K. (2017). </w:t>
      </w:r>
      <w:r w:rsidRPr="00BA5F4C">
        <w:rPr>
          <w:rFonts w:ascii="Calibri" w:eastAsia="Calibri" w:hAnsi="Calibri" w:cs="Calibri"/>
          <w:i/>
          <w:iCs/>
          <w:color w:val="000000"/>
          <w:sz w:val="22"/>
          <w:lang w:val="en-US" w:eastAsia="es-MX"/>
        </w:rPr>
        <w:t>Contesting the future of nuclear power: A critical global assessment of atomic energy.</w:t>
      </w:r>
      <w:r w:rsidRPr="00BA5F4C">
        <w:rPr>
          <w:rFonts w:ascii="Calibri" w:eastAsia="Calibri" w:hAnsi="Calibri" w:cs="Calibri"/>
          <w:color w:val="000000"/>
          <w:sz w:val="22"/>
          <w:lang w:val="en-US" w:eastAsia="es-MX"/>
        </w:rPr>
        <w:t xml:space="preserve"> World Scientific. </w:t>
      </w:r>
      <w:hyperlink r:id="rId36" w:history="1">
        <w:r w:rsidRPr="00BA5F4C">
          <w:rPr>
            <w:rFonts w:ascii="Calibri" w:eastAsia="Calibri" w:hAnsi="Calibri" w:cs="Calibri"/>
            <w:color w:val="B85A22"/>
            <w:sz w:val="22"/>
            <w:u w:val="single"/>
            <w:lang w:val="en-US" w:eastAsia="es-MX"/>
          </w:rPr>
          <w:t>https://doi.org/10.1142/789</w:t>
        </w:r>
        <w:r w:rsidRPr="00BA5F4C">
          <w:rPr>
            <w:rFonts w:ascii="Calibri" w:eastAsia="Century Gothic" w:hAnsi="Calibri" w:cs="Calibri"/>
            <w:color w:val="B85A22"/>
            <w:sz w:val="22"/>
            <w:u w:val="single"/>
            <w:lang w:val="en-US" w:eastAsia="es-MX"/>
          </w:rPr>
          <w:t>5</w:t>
        </w:r>
      </w:hyperlink>
      <w:r w:rsidRPr="00BA5F4C">
        <w:rPr>
          <w:rFonts w:ascii="Calibri" w:eastAsia="Century Gothic" w:hAnsi="Calibri" w:cs="Calibri"/>
          <w:sz w:val="22"/>
          <w:lang w:val="en-US" w:eastAsia="es-MX"/>
        </w:rPr>
        <w:t xml:space="preserve"> </w:t>
      </w:r>
    </w:p>
    <w:p w14:paraId="3E18D34B"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s-US" w:eastAsia="es-MX"/>
        </w:rPr>
      </w:pPr>
      <w:r w:rsidRPr="00BA5F4C">
        <w:rPr>
          <w:rFonts w:ascii="Calibri" w:eastAsia="Calibri" w:hAnsi="Calibri" w:cs="Calibri"/>
          <w:color w:val="000000"/>
          <w:sz w:val="22"/>
          <w:lang w:val="en-US" w:eastAsia="es-MX"/>
        </w:rPr>
        <w:t xml:space="preserve">Strauss, A. L. y Corbin, J. (2002). </w:t>
      </w:r>
      <w:r w:rsidRPr="00BA5F4C">
        <w:rPr>
          <w:rFonts w:ascii="Calibri" w:eastAsia="Calibri" w:hAnsi="Calibri" w:cs="Calibri"/>
          <w:i/>
          <w:iCs/>
          <w:color w:val="000000"/>
          <w:sz w:val="22"/>
          <w:lang w:val="es-MX" w:eastAsia="es-MX"/>
        </w:rPr>
        <w:t>Bases de la investigación cualitativa: Técnicas y procedimientos para desarrollar la teoría fundamentada.</w:t>
      </w:r>
      <w:r w:rsidRPr="00BA5F4C">
        <w:rPr>
          <w:rFonts w:ascii="Calibri" w:eastAsia="Calibri" w:hAnsi="Calibri" w:cs="Calibri"/>
          <w:color w:val="000000"/>
          <w:sz w:val="22"/>
          <w:lang w:val="es-MX" w:eastAsia="es-MX"/>
        </w:rPr>
        <w:t xml:space="preserve"> </w:t>
      </w:r>
      <w:r w:rsidRPr="00BA5F4C">
        <w:rPr>
          <w:rFonts w:ascii="Calibri" w:eastAsia="Calibri" w:hAnsi="Calibri" w:cs="Calibri"/>
          <w:color w:val="000000"/>
          <w:sz w:val="22"/>
          <w:lang w:val="es-US" w:eastAsia="es-MX"/>
        </w:rPr>
        <w:t>Universidad de Antioquía.</w:t>
      </w:r>
      <w:r w:rsidRPr="00BA5F4C">
        <w:rPr>
          <w:rFonts w:ascii="Calibri" w:eastAsia="Century Gothic" w:hAnsi="Calibri" w:cs="Calibri"/>
          <w:sz w:val="22"/>
          <w:lang w:val="es-MX" w:eastAsia="es-MX"/>
        </w:rPr>
        <w:t xml:space="preserve"> </w:t>
      </w:r>
      <w:hyperlink r:id="rId37" w:history="1">
        <w:r w:rsidRPr="00BA5F4C">
          <w:rPr>
            <w:rFonts w:ascii="Calibri" w:eastAsia="Calibri" w:hAnsi="Calibri" w:cs="Calibri"/>
            <w:color w:val="B85A22"/>
            <w:sz w:val="22"/>
            <w:u w:val="single"/>
            <w:lang w:val="es-US" w:eastAsia="es-MX"/>
          </w:rPr>
          <w:t>https://acortar.link/mew4rj</w:t>
        </w:r>
      </w:hyperlink>
    </w:p>
    <w:p w14:paraId="596EBF6F"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entury Gothic" w:hAnsi="Calibri" w:cs="Calibri"/>
          <w:sz w:val="22"/>
          <w:lang w:val="es-MX" w:eastAsia="es-MX"/>
        </w:rPr>
      </w:pPr>
      <w:r w:rsidRPr="00BA5F4C">
        <w:rPr>
          <w:rFonts w:ascii="Calibri" w:eastAsia="Calibri" w:hAnsi="Calibri" w:cs="Calibri"/>
          <w:color w:val="000000"/>
          <w:sz w:val="22"/>
          <w:lang w:val="es-MX" w:eastAsia="es-MX"/>
        </w:rPr>
        <w:t xml:space="preserve">Subsecretaría de Planeación y Transición Energética. (2023). </w:t>
      </w:r>
      <w:r w:rsidRPr="00BA5F4C">
        <w:rPr>
          <w:rFonts w:ascii="Calibri" w:eastAsia="Calibri" w:hAnsi="Calibri" w:cs="Calibri"/>
          <w:i/>
          <w:iCs/>
          <w:color w:val="000000"/>
          <w:sz w:val="22"/>
          <w:lang w:val="es-MX" w:eastAsia="es-MX"/>
        </w:rPr>
        <w:t>Balance nacional de energía preliminar.</w:t>
      </w:r>
      <w:r w:rsidRPr="00BA5F4C">
        <w:rPr>
          <w:rFonts w:ascii="Calibri" w:eastAsia="Calibri" w:hAnsi="Calibri" w:cs="Calibri"/>
          <w:color w:val="000000"/>
          <w:sz w:val="22"/>
          <w:lang w:val="es-MX" w:eastAsia="es-MX"/>
        </w:rPr>
        <w:t xml:space="preserve"> Secretaría de Energía.</w:t>
      </w:r>
      <w:r w:rsidRPr="00BA5F4C">
        <w:rPr>
          <w:rFonts w:ascii="Calibri" w:eastAsia="Century Gothic" w:hAnsi="Calibri" w:cs="Calibri"/>
          <w:sz w:val="22"/>
          <w:lang w:val="es-MX" w:eastAsia="es-MX"/>
        </w:rPr>
        <w:t xml:space="preserve"> </w:t>
      </w:r>
      <w:hyperlink r:id="rId38" w:history="1">
        <w:r w:rsidRPr="00BA5F4C">
          <w:rPr>
            <w:rFonts w:ascii="Calibri" w:eastAsia="Century Gothic" w:hAnsi="Calibri" w:cs="Calibri"/>
            <w:color w:val="B85A22"/>
            <w:sz w:val="22"/>
            <w:u w:val="single"/>
            <w:lang w:val="es-MX" w:eastAsia="es-MX"/>
          </w:rPr>
          <w:t>https://acortar.link/jVuLUc</w:t>
        </w:r>
      </w:hyperlink>
    </w:p>
    <w:p w14:paraId="08B2E157" w14:textId="77777777" w:rsidR="00BA5F4C" w:rsidRPr="00BA5F4C" w:rsidRDefault="00BA5F4C" w:rsidP="00BA5F4C">
      <w:pPr>
        <w:pBdr>
          <w:top w:val="nil"/>
          <w:left w:val="nil"/>
          <w:bottom w:val="nil"/>
          <w:right w:val="nil"/>
          <w:between w:val="nil"/>
        </w:pBdr>
        <w:spacing w:before="100" w:beforeAutospacing="1" w:after="100" w:afterAutospacing="1"/>
        <w:ind w:left="360" w:hanging="270"/>
        <w:jc w:val="both"/>
        <w:rPr>
          <w:rFonts w:ascii="Calibri" w:eastAsia="Calibri" w:hAnsi="Calibri" w:cs="Calibri"/>
          <w:color w:val="000000"/>
          <w:sz w:val="22"/>
          <w:lang w:val="en-US" w:eastAsia="es-MX"/>
        </w:rPr>
      </w:pPr>
      <w:r w:rsidRPr="00BA5F4C">
        <w:rPr>
          <w:rFonts w:ascii="Calibri" w:eastAsia="Calibri" w:hAnsi="Calibri" w:cs="Calibri"/>
          <w:color w:val="000000"/>
          <w:sz w:val="22"/>
          <w:lang w:val="en-US" w:eastAsia="es-MX"/>
        </w:rPr>
        <w:t xml:space="preserve">World Nuclear Association. (2021). </w:t>
      </w:r>
      <w:r w:rsidRPr="00BA5F4C">
        <w:rPr>
          <w:rFonts w:ascii="Calibri" w:eastAsia="Calibri" w:hAnsi="Calibri" w:cs="Calibri"/>
          <w:i/>
          <w:iCs/>
          <w:color w:val="000000"/>
          <w:sz w:val="22"/>
          <w:lang w:val="en-US" w:eastAsia="es-MX"/>
        </w:rPr>
        <w:t>Germany’s Energiewende</w:t>
      </w:r>
      <w:r w:rsidRPr="00BA5F4C">
        <w:rPr>
          <w:rFonts w:ascii="Calibri" w:eastAsia="Calibri" w:hAnsi="Calibri" w:cs="Calibri"/>
          <w:color w:val="000000"/>
          <w:sz w:val="22"/>
          <w:lang w:val="en-US" w:eastAsia="es-MX"/>
        </w:rPr>
        <w:t>.</w:t>
      </w:r>
      <w:hyperlink r:id="rId39" w:history="1">
        <w:r w:rsidRPr="00BA5F4C">
          <w:rPr>
            <w:rFonts w:ascii="Calibri" w:eastAsia="Calibri" w:hAnsi="Calibri" w:cs="Calibri"/>
            <w:color w:val="B85A22"/>
            <w:sz w:val="22"/>
            <w:u w:val="single"/>
            <w:lang w:val="en-US" w:eastAsia="es-MX"/>
          </w:rPr>
          <w:t xml:space="preserve"> </w:t>
        </w:r>
      </w:hyperlink>
      <w:r w:rsidRPr="00BA5F4C">
        <w:rPr>
          <w:rFonts w:ascii="Calibri" w:eastAsia="Century Gothic" w:hAnsi="Calibri" w:cs="Calibri"/>
          <w:sz w:val="22"/>
          <w:lang w:val="es-MX" w:eastAsia="es-MX"/>
        </w:rPr>
        <w:t xml:space="preserve"> </w:t>
      </w:r>
      <w:hyperlink r:id="rId40" w:history="1">
        <w:r w:rsidRPr="00BA5F4C">
          <w:rPr>
            <w:rFonts w:ascii="Calibri" w:eastAsia="Century Gothic" w:hAnsi="Calibri" w:cs="Calibri"/>
            <w:color w:val="B85A22"/>
            <w:sz w:val="22"/>
            <w:u w:val="single"/>
            <w:lang w:val="es-MX" w:eastAsia="es-MX"/>
          </w:rPr>
          <w:t>https://acortar.link/7B9Z9t</w:t>
        </w:r>
      </w:hyperlink>
      <w:r w:rsidRPr="00BA5F4C">
        <w:rPr>
          <w:rFonts w:ascii="Calibri" w:eastAsia="Century Gothic" w:hAnsi="Calibri" w:cs="Calibri"/>
          <w:sz w:val="22"/>
          <w:lang w:val="es-MX" w:eastAsia="es-MX"/>
        </w:rPr>
        <w:t xml:space="preserve"> </w:t>
      </w:r>
    </w:p>
    <w:p w14:paraId="218B5BCF" w14:textId="77777777" w:rsidR="00A0256F" w:rsidRPr="00F70C8E" w:rsidRDefault="00A0256F" w:rsidP="00F70C8E">
      <w:pPr>
        <w:spacing w:before="100" w:beforeAutospacing="1" w:after="100" w:afterAutospacing="1"/>
        <w:ind w:left="90"/>
        <w:jc w:val="both"/>
        <w:rPr>
          <w:rFonts w:ascii="Calibri" w:eastAsia="Meiryo" w:hAnsi="Calibri" w:cs="Calibri"/>
          <w:b/>
          <w:sz w:val="22"/>
          <w:lang w:val="es-CO"/>
        </w:rPr>
      </w:pPr>
    </w:p>
    <w:p w14:paraId="6CEA18E3" w14:textId="77777777" w:rsidR="0070335D" w:rsidRDefault="0070335D" w:rsidP="00C77A71">
      <w:pPr>
        <w:spacing w:before="100" w:beforeAutospacing="1" w:after="100" w:afterAutospacing="1"/>
        <w:ind w:left="90"/>
        <w:contextualSpacing/>
        <w:mirrorIndents/>
        <w:jc w:val="both"/>
        <w:rPr>
          <w:rFonts w:ascii="Calibri" w:eastAsia="Times New Roman" w:hAnsi="Calibri" w:cs="Calibri"/>
          <w:b/>
          <w:sz w:val="22"/>
          <w:lang w:eastAsia="es-ES"/>
        </w:rPr>
      </w:pPr>
    </w:p>
    <w:sectPr w:rsidR="0070335D" w:rsidSect="00F757F4">
      <w:footerReference w:type="default" r:id="rId4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AAF9" w14:textId="77777777" w:rsidR="005E1141" w:rsidRDefault="005E1141" w:rsidP="000C45FF">
      <w:r>
        <w:separator/>
      </w:r>
    </w:p>
  </w:endnote>
  <w:endnote w:type="continuationSeparator" w:id="0">
    <w:p w14:paraId="376B118B" w14:textId="77777777" w:rsidR="005E1141" w:rsidRDefault="005E1141" w:rsidP="000C45FF">
      <w:r>
        <w:continuationSeparator/>
      </w:r>
    </w:p>
  </w:endnote>
  <w:endnote w:type="continuationNotice" w:id="1">
    <w:p w14:paraId="324EB4DB" w14:textId="77777777" w:rsidR="005E1141" w:rsidRDefault="005E1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E00002FF" w:usb1="4000201F" w:usb2="08000029" w:usb3="00000000" w:csb0="0000019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font358">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tka Text Semibold">
    <w:panose1 w:val="00000000000000000000"/>
    <w:charset w:val="00"/>
    <w:family w:val="auto"/>
    <w:pitch w:val="variable"/>
    <w:sig w:usb0="A00002EF" w:usb1="4000204B" w:usb2="00000000" w:usb3="00000000" w:csb0="0000019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055847" w14:paraId="26C188E6" w14:textId="77777777" w:rsidTr="005725E6">
      <w:trPr>
        <w:jc w:val="right"/>
      </w:trPr>
      <w:tc>
        <w:tcPr>
          <w:tcW w:w="4795"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5760"/>
          </w:tblGrid>
          <w:tr w:rsidR="00442DE1" w14:paraId="45D16B18" w14:textId="77777777" w:rsidTr="00453103">
            <w:tc>
              <w:tcPr>
                <w:tcW w:w="2575" w:type="dxa"/>
              </w:tcPr>
              <w:p w14:paraId="5557F34B" w14:textId="77777777" w:rsidR="00442DE1" w:rsidRPr="00532AC9" w:rsidRDefault="00442DE1" w:rsidP="00442DE1">
                <w:pPr>
                  <w:pStyle w:val="Header"/>
                  <w:rPr>
                    <w:rFonts w:ascii="Calibri" w:eastAsia="Times New Roman" w:hAnsi="Calibri" w:cs="Calibri"/>
                    <w:i/>
                    <w:color w:val="000000"/>
                    <w:sz w:val="20"/>
                    <w:szCs w:val="20"/>
                    <w:lang w:eastAsia="es-EC"/>
                  </w:rPr>
                </w:pPr>
                <w:hyperlink r:id="rId1" w:history="1">
                  <w:r w:rsidRPr="00960E00">
                    <w:rPr>
                      <w:rStyle w:val="Hyperlink"/>
                      <w:rFonts w:ascii="Calibri" w:eastAsia="Times New Roman" w:hAnsi="Calibri" w:cs="Calibri"/>
                      <w:i/>
                      <w:sz w:val="20"/>
                      <w:szCs w:val="20"/>
                      <w:lang w:eastAsia="es-EC"/>
                    </w:rPr>
                    <w:t>Licencia: CC BY</w:t>
                  </w:r>
                  <w:r w:rsidRPr="00960E00">
                    <w:rPr>
                      <w:rStyle w:val="Hyperlink"/>
                      <w:rFonts w:ascii="Cambria Math" w:eastAsia="Times New Roman" w:hAnsi="Cambria Math" w:cs="Cambria Math"/>
                      <w:i/>
                      <w:sz w:val="20"/>
                      <w:szCs w:val="20"/>
                      <w:lang w:eastAsia="es-EC"/>
                    </w:rPr>
                    <w:t>‑</w:t>
                  </w:r>
                  <w:r w:rsidRPr="00960E00">
                    <w:rPr>
                      <w:rStyle w:val="Hyperlink"/>
                      <w:rFonts w:ascii="Calibri" w:eastAsia="Times New Roman" w:hAnsi="Calibri" w:cs="Calibri"/>
                      <w:i/>
                      <w:sz w:val="20"/>
                      <w:szCs w:val="20"/>
                      <w:lang w:eastAsia="es-EC"/>
                    </w:rPr>
                    <w:t>NC-SA 4.0</w:t>
                  </w:r>
                </w:hyperlink>
              </w:p>
            </w:tc>
            <w:tc>
              <w:tcPr>
                <w:tcW w:w="5760" w:type="dxa"/>
              </w:tcPr>
              <w:p w14:paraId="2A1D6C53" w14:textId="77777777" w:rsidR="00442DE1" w:rsidRPr="00532AC9" w:rsidRDefault="00442DE1" w:rsidP="00442DE1">
                <w:pPr>
                  <w:pStyle w:val="Header"/>
                  <w:jc w:val="right"/>
                  <w:rPr>
                    <w:rFonts w:ascii="Calibri" w:eastAsia="Times New Roman" w:hAnsi="Calibri" w:cs="Calibri"/>
                    <w:i/>
                    <w:color w:val="000000"/>
                    <w:sz w:val="20"/>
                    <w:szCs w:val="20"/>
                    <w:lang w:eastAsia="es-EC"/>
                  </w:rPr>
                </w:pPr>
                <w:r w:rsidRPr="00532AC9">
                  <w:rPr>
                    <w:rFonts w:ascii="Calibri" w:eastAsia="Times New Roman" w:hAnsi="Calibri" w:cs="Calibri"/>
                    <w:i/>
                    <w:color w:val="000000"/>
                    <w:sz w:val="20"/>
                    <w:szCs w:val="20"/>
                    <w:lang w:eastAsia="es-EC"/>
                  </w:rPr>
                  <w:t>Revista Iberoamericana Ambiente &amp; Sustentabilidad Vol. 9, 2026</w:t>
                </w:r>
              </w:p>
            </w:tc>
          </w:tr>
        </w:tbl>
        <w:p w14:paraId="25D81FC5" w14:textId="7729D5DD" w:rsidR="00055847" w:rsidRPr="002462FB" w:rsidRDefault="00055847" w:rsidP="00C42307">
          <w:pPr>
            <w:pStyle w:val="Header"/>
            <w:jc w:val="right"/>
            <w:rPr>
              <w:rFonts w:ascii="Calibri" w:hAnsi="Calibri" w:cs="Calibri"/>
              <w:caps/>
              <w:color w:val="000000" w:themeColor="text1"/>
              <w:sz w:val="22"/>
            </w:rPr>
          </w:pPr>
        </w:p>
      </w:tc>
      <w:tc>
        <w:tcPr>
          <w:tcW w:w="250" w:type="pct"/>
          <w:shd w:val="clear" w:color="auto" w:fill="33CC33"/>
          <w:vAlign w:val="center"/>
        </w:tcPr>
        <w:p w14:paraId="6F478B8D" w14:textId="7E39276F" w:rsidR="00055847" w:rsidRDefault="00055847">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266DEC">
            <w:rPr>
              <w:noProof/>
              <w:color w:val="FFFFFF" w:themeColor="background1"/>
            </w:rPr>
            <w:t>22</w:t>
          </w:r>
          <w:r>
            <w:rPr>
              <w:color w:val="FFFFFF" w:themeColor="background1"/>
            </w:rPr>
            <w:fldChar w:fldCharType="end"/>
          </w:r>
        </w:p>
      </w:tc>
    </w:tr>
  </w:tbl>
  <w:p w14:paraId="69ADAFF3" w14:textId="77777777" w:rsidR="00055847" w:rsidRDefault="00055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3FB1B" w14:textId="77777777" w:rsidR="005E1141" w:rsidRDefault="005E1141" w:rsidP="000C45FF">
      <w:r>
        <w:separator/>
      </w:r>
    </w:p>
  </w:footnote>
  <w:footnote w:type="continuationSeparator" w:id="0">
    <w:p w14:paraId="09671A3F" w14:textId="77777777" w:rsidR="005E1141" w:rsidRDefault="005E1141" w:rsidP="000C45FF">
      <w:r>
        <w:continuationSeparator/>
      </w:r>
    </w:p>
  </w:footnote>
  <w:footnote w:type="continuationNotice" w:id="1">
    <w:p w14:paraId="24B6DC06" w14:textId="77777777" w:rsidR="005E1141" w:rsidRDefault="005E11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5AE4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8608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9897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D03A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C86857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A47F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647B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7A02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880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303F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2"/>
    <w:multiLevelType w:val="multilevel"/>
    <w:tmpl w:val="00000002"/>
    <w:name w:val="WWNum3"/>
    <w:lvl w:ilvl="0">
      <w:start w:val="9"/>
      <w:numFmt w:val="bullet"/>
      <w:lvlText w:val="-"/>
      <w:lvlJc w:val="left"/>
      <w:pPr>
        <w:tabs>
          <w:tab w:val="num" w:pos="0"/>
        </w:tabs>
        <w:ind w:left="1440" w:hanging="360"/>
      </w:pPr>
      <w:rPr>
        <w:rFonts w:ascii="Calibri" w:hAnsi="Calibri" w:cs="Calibri"/>
        <w:b/>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2" w15:restartNumberingAfterBreak="0">
    <w:nsid w:val="00000007"/>
    <w:multiLevelType w:val="multilevel"/>
    <w:tmpl w:val="00000007"/>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F4D2D3C"/>
    <w:multiLevelType w:val="hybridMultilevel"/>
    <w:tmpl w:val="386AAE2A"/>
    <w:lvl w:ilvl="0" w:tplc="CE40E87C">
      <w:start w:val="1"/>
      <w:numFmt w:val="bullet"/>
      <w:lvlText w:val="-"/>
      <w:lvlJc w:val="left"/>
      <w:pPr>
        <w:ind w:left="810" w:hanging="360"/>
      </w:pPr>
      <w:rPr>
        <w:rFonts w:ascii="Calibri" w:hAnsi="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165C7D14"/>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6BA0B52"/>
    <w:multiLevelType w:val="hybridMultilevel"/>
    <w:tmpl w:val="14A2D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1B4805"/>
    <w:multiLevelType w:val="multilevel"/>
    <w:tmpl w:val="8474D97C"/>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9745598"/>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2750F9"/>
    <w:multiLevelType w:val="hybridMultilevel"/>
    <w:tmpl w:val="27E62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573654"/>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A2E0174"/>
    <w:multiLevelType w:val="multilevel"/>
    <w:tmpl w:val="87B6D7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FBB7C69"/>
    <w:multiLevelType w:val="hybridMultilevel"/>
    <w:tmpl w:val="CB68D286"/>
    <w:lvl w:ilvl="0" w:tplc="CE40E87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1140936">
    <w:abstractNumId w:val="14"/>
  </w:num>
  <w:num w:numId="2" w16cid:durableId="1450053127">
    <w:abstractNumId w:val="17"/>
  </w:num>
  <w:num w:numId="3" w16cid:durableId="2012415710">
    <w:abstractNumId w:val="8"/>
  </w:num>
  <w:num w:numId="4" w16cid:durableId="876046113">
    <w:abstractNumId w:val="3"/>
  </w:num>
  <w:num w:numId="5" w16cid:durableId="1259558970">
    <w:abstractNumId w:val="2"/>
  </w:num>
  <w:num w:numId="6" w16cid:durableId="942611027">
    <w:abstractNumId w:val="1"/>
  </w:num>
  <w:num w:numId="7" w16cid:durableId="1083142272">
    <w:abstractNumId w:val="0"/>
  </w:num>
  <w:num w:numId="8" w16cid:durableId="614140500">
    <w:abstractNumId w:val="9"/>
  </w:num>
  <w:num w:numId="9" w16cid:durableId="1219780640">
    <w:abstractNumId w:val="7"/>
  </w:num>
  <w:num w:numId="10" w16cid:durableId="1388341163">
    <w:abstractNumId w:val="6"/>
  </w:num>
  <w:num w:numId="11" w16cid:durableId="858272724">
    <w:abstractNumId w:val="5"/>
  </w:num>
  <w:num w:numId="12" w16cid:durableId="1205680596">
    <w:abstractNumId w:val="4"/>
  </w:num>
  <w:num w:numId="13" w16cid:durableId="1555198330">
    <w:abstractNumId w:val="19"/>
  </w:num>
  <w:num w:numId="14" w16cid:durableId="1769155818">
    <w:abstractNumId w:val="18"/>
  </w:num>
  <w:num w:numId="15" w16cid:durableId="842085683">
    <w:abstractNumId w:val="15"/>
  </w:num>
  <w:num w:numId="16" w16cid:durableId="431243954">
    <w:abstractNumId w:val="21"/>
  </w:num>
  <w:num w:numId="17" w16cid:durableId="1151292711">
    <w:abstractNumId w:val="13"/>
  </w:num>
  <w:num w:numId="18" w16cid:durableId="1595017434">
    <w:abstractNumId w:val="20"/>
  </w:num>
  <w:num w:numId="19" w16cid:durableId="79170391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s-US" w:vendorID="64" w:dllVersion="6" w:nlCheck="1" w:checkStyle="0"/>
  <w:activeWritingStyle w:appName="MSWord" w:lang="es-ES" w:vendorID="64" w:dllVersion="6" w:nlCheck="1" w:checkStyle="0"/>
  <w:activeWritingStyle w:appName="MSWord" w:lang="en-US" w:vendorID="64" w:dllVersion="6" w:nlCheck="1" w:checkStyle="0"/>
  <w:activeWritingStyle w:appName="MSWord" w:lang="pt-BR" w:vendorID="64" w:dllVersion="6" w:nlCheck="1" w:checkStyle="0"/>
  <w:activeWritingStyle w:appName="MSWord" w:lang="es-ES" w:vendorID="64" w:dllVersion="0" w:nlCheck="1" w:checkStyle="0"/>
  <w:activeWritingStyle w:appName="MSWord" w:lang="es-US"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es-CO" w:vendorID="64" w:dllVersion="0" w:nlCheck="1" w:checkStyle="0"/>
  <w:activeWritingStyle w:appName="MSWord" w:lang="es-AR" w:vendorID="64" w:dllVersion="0" w:nlCheck="1" w:checkStyle="0"/>
  <w:activeWritingStyle w:appName="MSWord" w:lang="es-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es-419" w:vendorID="64" w:dllVersion="0" w:nlCheck="1" w:checkStyle="0"/>
  <w:activeWritingStyle w:appName="MSWord" w:lang="es-MX" w:vendorID="64" w:dllVersion="0" w:nlCheck="1" w:checkStyle="0"/>
  <w:activeWritingStyle w:appName="MSWord" w:lang="es-EC" w:vendorID="64" w:dllVersion="0" w:nlCheck="1" w:checkStyle="0"/>
  <w:activeWritingStyle w:appName="MSWord" w:lang="es-ES_tradnl"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6F"/>
    <w:rsid w:val="00000444"/>
    <w:rsid w:val="0000076F"/>
    <w:rsid w:val="00001682"/>
    <w:rsid w:val="000020AA"/>
    <w:rsid w:val="000022BC"/>
    <w:rsid w:val="00002F68"/>
    <w:rsid w:val="00002FB5"/>
    <w:rsid w:val="000041A8"/>
    <w:rsid w:val="000055CE"/>
    <w:rsid w:val="00005CAC"/>
    <w:rsid w:val="00005F96"/>
    <w:rsid w:val="0000620E"/>
    <w:rsid w:val="00006460"/>
    <w:rsid w:val="00007AD3"/>
    <w:rsid w:val="00010147"/>
    <w:rsid w:val="00010488"/>
    <w:rsid w:val="000124EE"/>
    <w:rsid w:val="00012836"/>
    <w:rsid w:val="00014360"/>
    <w:rsid w:val="000144DA"/>
    <w:rsid w:val="000144E4"/>
    <w:rsid w:val="0001466E"/>
    <w:rsid w:val="00014E4A"/>
    <w:rsid w:val="0001588C"/>
    <w:rsid w:val="00016DC8"/>
    <w:rsid w:val="0002001B"/>
    <w:rsid w:val="00021846"/>
    <w:rsid w:val="000226CF"/>
    <w:rsid w:val="000234C6"/>
    <w:rsid w:val="00023A3E"/>
    <w:rsid w:val="00023B88"/>
    <w:rsid w:val="0002441F"/>
    <w:rsid w:val="00024781"/>
    <w:rsid w:val="00024CBF"/>
    <w:rsid w:val="00024FF3"/>
    <w:rsid w:val="00025781"/>
    <w:rsid w:val="00025AB5"/>
    <w:rsid w:val="00025B2D"/>
    <w:rsid w:val="0002671E"/>
    <w:rsid w:val="00027C23"/>
    <w:rsid w:val="00031090"/>
    <w:rsid w:val="0003279A"/>
    <w:rsid w:val="0003279B"/>
    <w:rsid w:val="000329C3"/>
    <w:rsid w:val="0003335E"/>
    <w:rsid w:val="00035859"/>
    <w:rsid w:val="00036388"/>
    <w:rsid w:val="00036450"/>
    <w:rsid w:val="00040540"/>
    <w:rsid w:val="000408AD"/>
    <w:rsid w:val="000419AA"/>
    <w:rsid w:val="00041ADF"/>
    <w:rsid w:val="00042259"/>
    <w:rsid w:val="00042E1E"/>
    <w:rsid w:val="000435B8"/>
    <w:rsid w:val="00043C1B"/>
    <w:rsid w:val="00045CDF"/>
    <w:rsid w:val="00046B29"/>
    <w:rsid w:val="0004762C"/>
    <w:rsid w:val="000504AD"/>
    <w:rsid w:val="000508AC"/>
    <w:rsid w:val="00050A0D"/>
    <w:rsid w:val="00050DC7"/>
    <w:rsid w:val="00050FD9"/>
    <w:rsid w:val="00051950"/>
    <w:rsid w:val="0005228F"/>
    <w:rsid w:val="00052919"/>
    <w:rsid w:val="00052BCE"/>
    <w:rsid w:val="00052DDD"/>
    <w:rsid w:val="00053E1B"/>
    <w:rsid w:val="000545AD"/>
    <w:rsid w:val="00054C96"/>
    <w:rsid w:val="00055164"/>
    <w:rsid w:val="00055382"/>
    <w:rsid w:val="00055613"/>
    <w:rsid w:val="00055847"/>
    <w:rsid w:val="00056802"/>
    <w:rsid w:val="00057616"/>
    <w:rsid w:val="000611A4"/>
    <w:rsid w:val="00061610"/>
    <w:rsid w:val="00061FCD"/>
    <w:rsid w:val="000626C6"/>
    <w:rsid w:val="00062EF7"/>
    <w:rsid w:val="0006408F"/>
    <w:rsid w:val="00065CB2"/>
    <w:rsid w:val="000661B9"/>
    <w:rsid w:val="00066CDE"/>
    <w:rsid w:val="00066D24"/>
    <w:rsid w:val="00070493"/>
    <w:rsid w:val="00070699"/>
    <w:rsid w:val="000706C1"/>
    <w:rsid w:val="00070CCB"/>
    <w:rsid w:val="00070DA2"/>
    <w:rsid w:val="00071C62"/>
    <w:rsid w:val="00072F42"/>
    <w:rsid w:val="00073C67"/>
    <w:rsid w:val="00074C2B"/>
    <w:rsid w:val="00075460"/>
    <w:rsid w:val="00075675"/>
    <w:rsid w:val="00075CE7"/>
    <w:rsid w:val="000762FF"/>
    <w:rsid w:val="000764E5"/>
    <w:rsid w:val="000774D0"/>
    <w:rsid w:val="00077B5E"/>
    <w:rsid w:val="00080E31"/>
    <w:rsid w:val="00081DCF"/>
    <w:rsid w:val="0008211E"/>
    <w:rsid w:val="00082F8A"/>
    <w:rsid w:val="00083493"/>
    <w:rsid w:val="0008359B"/>
    <w:rsid w:val="000838AE"/>
    <w:rsid w:val="00083CD5"/>
    <w:rsid w:val="00084575"/>
    <w:rsid w:val="000848EF"/>
    <w:rsid w:val="00084C46"/>
    <w:rsid w:val="0008591D"/>
    <w:rsid w:val="00086B13"/>
    <w:rsid w:val="00086B34"/>
    <w:rsid w:val="00086BF0"/>
    <w:rsid w:val="00086DCB"/>
    <w:rsid w:val="00086E2B"/>
    <w:rsid w:val="00090521"/>
    <w:rsid w:val="000905DD"/>
    <w:rsid w:val="00091636"/>
    <w:rsid w:val="00092155"/>
    <w:rsid w:val="0009263D"/>
    <w:rsid w:val="000929B4"/>
    <w:rsid w:val="00094180"/>
    <w:rsid w:val="00094499"/>
    <w:rsid w:val="00095D58"/>
    <w:rsid w:val="00095E35"/>
    <w:rsid w:val="0009639A"/>
    <w:rsid w:val="000963CA"/>
    <w:rsid w:val="000969E0"/>
    <w:rsid w:val="00096C40"/>
    <w:rsid w:val="00096E53"/>
    <w:rsid w:val="00097A4C"/>
    <w:rsid w:val="000A0436"/>
    <w:rsid w:val="000A08E7"/>
    <w:rsid w:val="000A1317"/>
    <w:rsid w:val="000A24F9"/>
    <w:rsid w:val="000A2BD6"/>
    <w:rsid w:val="000A3789"/>
    <w:rsid w:val="000A521D"/>
    <w:rsid w:val="000A5746"/>
    <w:rsid w:val="000A5B2B"/>
    <w:rsid w:val="000A67EC"/>
    <w:rsid w:val="000A770B"/>
    <w:rsid w:val="000A7D70"/>
    <w:rsid w:val="000B0445"/>
    <w:rsid w:val="000B0D61"/>
    <w:rsid w:val="000B1293"/>
    <w:rsid w:val="000B137B"/>
    <w:rsid w:val="000B1CC6"/>
    <w:rsid w:val="000B24D7"/>
    <w:rsid w:val="000B27C9"/>
    <w:rsid w:val="000B3871"/>
    <w:rsid w:val="000B46B3"/>
    <w:rsid w:val="000B4A48"/>
    <w:rsid w:val="000B516F"/>
    <w:rsid w:val="000B71D5"/>
    <w:rsid w:val="000B7908"/>
    <w:rsid w:val="000C08F2"/>
    <w:rsid w:val="000C0CBB"/>
    <w:rsid w:val="000C1532"/>
    <w:rsid w:val="000C1C9C"/>
    <w:rsid w:val="000C2134"/>
    <w:rsid w:val="000C3755"/>
    <w:rsid w:val="000C3A8D"/>
    <w:rsid w:val="000C400A"/>
    <w:rsid w:val="000C45FF"/>
    <w:rsid w:val="000C4B12"/>
    <w:rsid w:val="000C539F"/>
    <w:rsid w:val="000C683F"/>
    <w:rsid w:val="000C75F6"/>
    <w:rsid w:val="000C7634"/>
    <w:rsid w:val="000C7768"/>
    <w:rsid w:val="000D0B8B"/>
    <w:rsid w:val="000D24C7"/>
    <w:rsid w:val="000D251C"/>
    <w:rsid w:val="000D4118"/>
    <w:rsid w:val="000D45FE"/>
    <w:rsid w:val="000D48F3"/>
    <w:rsid w:val="000D51DF"/>
    <w:rsid w:val="000D5DB4"/>
    <w:rsid w:val="000D5ED0"/>
    <w:rsid w:val="000D6D9F"/>
    <w:rsid w:val="000D76BB"/>
    <w:rsid w:val="000D7F5D"/>
    <w:rsid w:val="000E0A74"/>
    <w:rsid w:val="000E15A1"/>
    <w:rsid w:val="000E1806"/>
    <w:rsid w:val="000E1AF2"/>
    <w:rsid w:val="000E1B98"/>
    <w:rsid w:val="000E1DB2"/>
    <w:rsid w:val="000E2639"/>
    <w:rsid w:val="000E2C02"/>
    <w:rsid w:val="000E3FD1"/>
    <w:rsid w:val="000E4B82"/>
    <w:rsid w:val="000E6382"/>
    <w:rsid w:val="000E7DF0"/>
    <w:rsid w:val="000E7EB2"/>
    <w:rsid w:val="000F040F"/>
    <w:rsid w:val="000F04F4"/>
    <w:rsid w:val="000F1E26"/>
    <w:rsid w:val="000F1E29"/>
    <w:rsid w:val="000F281F"/>
    <w:rsid w:val="000F30CC"/>
    <w:rsid w:val="000F359B"/>
    <w:rsid w:val="000F3E14"/>
    <w:rsid w:val="000F48A2"/>
    <w:rsid w:val="000F5122"/>
    <w:rsid w:val="000F5F2D"/>
    <w:rsid w:val="000F6BBA"/>
    <w:rsid w:val="000F6DC0"/>
    <w:rsid w:val="000F7D9E"/>
    <w:rsid w:val="001000AB"/>
    <w:rsid w:val="001010EA"/>
    <w:rsid w:val="00101B1B"/>
    <w:rsid w:val="00104569"/>
    <w:rsid w:val="00106CBB"/>
    <w:rsid w:val="00107BB3"/>
    <w:rsid w:val="00107CED"/>
    <w:rsid w:val="001103BF"/>
    <w:rsid w:val="00110785"/>
    <w:rsid w:val="00110E23"/>
    <w:rsid w:val="001116F4"/>
    <w:rsid w:val="00111AC6"/>
    <w:rsid w:val="00111BBC"/>
    <w:rsid w:val="00112054"/>
    <w:rsid w:val="00112AB8"/>
    <w:rsid w:val="00115386"/>
    <w:rsid w:val="00115738"/>
    <w:rsid w:val="001167D2"/>
    <w:rsid w:val="00117264"/>
    <w:rsid w:val="0011795E"/>
    <w:rsid w:val="00117DFD"/>
    <w:rsid w:val="001216A2"/>
    <w:rsid w:val="00121B45"/>
    <w:rsid w:val="00121B8F"/>
    <w:rsid w:val="00121D67"/>
    <w:rsid w:val="00122458"/>
    <w:rsid w:val="00124120"/>
    <w:rsid w:val="00124A56"/>
    <w:rsid w:val="00124DB7"/>
    <w:rsid w:val="00124DF4"/>
    <w:rsid w:val="0012687C"/>
    <w:rsid w:val="0012712B"/>
    <w:rsid w:val="00130131"/>
    <w:rsid w:val="00130F0A"/>
    <w:rsid w:val="00131E1B"/>
    <w:rsid w:val="00131FEB"/>
    <w:rsid w:val="001320B8"/>
    <w:rsid w:val="0013240A"/>
    <w:rsid w:val="00132A2B"/>
    <w:rsid w:val="001330F6"/>
    <w:rsid w:val="00133FB6"/>
    <w:rsid w:val="001345AA"/>
    <w:rsid w:val="00134DA6"/>
    <w:rsid w:val="00135097"/>
    <w:rsid w:val="001350D6"/>
    <w:rsid w:val="00135635"/>
    <w:rsid w:val="00135E05"/>
    <w:rsid w:val="001367D4"/>
    <w:rsid w:val="00136D11"/>
    <w:rsid w:val="00137A8C"/>
    <w:rsid w:val="001401B6"/>
    <w:rsid w:val="0014067F"/>
    <w:rsid w:val="00141B65"/>
    <w:rsid w:val="001424E5"/>
    <w:rsid w:val="001431D0"/>
    <w:rsid w:val="001437BF"/>
    <w:rsid w:val="00144A9C"/>
    <w:rsid w:val="00145013"/>
    <w:rsid w:val="00145E74"/>
    <w:rsid w:val="001461C4"/>
    <w:rsid w:val="001472E4"/>
    <w:rsid w:val="0014799B"/>
    <w:rsid w:val="001513E4"/>
    <w:rsid w:val="0015181A"/>
    <w:rsid w:val="001525E1"/>
    <w:rsid w:val="00153076"/>
    <w:rsid w:val="001537FB"/>
    <w:rsid w:val="00153805"/>
    <w:rsid w:val="00155F69"/>
    <w:rsid w:val="00156B18"/>
    <w:rsid w:val="001579F9"/>
    <w:rsid w:val="00157B4F"/>
    <w:rsid w:val="001606A4"/>
    <w:rsid w:val="00160D89"/>
    <w:rsid w:val="001622FC"/>
    <w:rsid w:val="001629CD"/>
    <w:rsid w:val="00162A9D"/>
    <w:rsid w:val="00162C17"/>
    <w:rsid w:val="00162CEE"/>
    <w:rsid w:val="00163575"/>
    <w:rsid w:val="00163BE1"/>
    <w:rsid w:val="0016413E"/>
    <w:rsid w:val="0016497E"/>
    <w:rsid w:val="001649BB"/>
    <w:rsid w:val="00165DCD"/>
    <w:rsid w:val="00166BF2"/>
    <w:rsid w:val="001670C7"/>
    <w:rsid w:val="0016712C"/>
    <w:rsid w:val="00167892"/>
    <w:rsid w:val="0017091E"/>
    <w:rsid w:val="00170AB9"/>
    <w:rsid w:val="001718A5"/>
    <w:rsid w:val="001718C6"/>
    <w:rsid w:val="00172729"/>
    <w:rsid w:val="00172EA3"/>
    <w:rsid w:val="00173507"/>
    <w:rsid w:val="00173E0A"/>
    <w:rsid w:val="001744F8"/>
    <w:rsid w:val="00174BD6"/>
    <w:rsid w:val="00180329"/>
    <w:rsid w:val="001803F5"/>
    <w:rsid w:val="001832F3"/>
    <w:rsid w:val="0018335B"/>
    <w:rsid w:val="0018349F"/>
    <w:rsid w:val="001842CF"/>
    <w:rsid w:val="001848CB"/>
    <w:rsid w:val="001853B7"/>
    <w:rsid w:val="00185C7C"/>
    <w:rsid w:val="00185E28"/>
    <w:rsid w:val="00186359"/>
    <w:rsid w:val="00186597"/>
    <w:rsid w:val="001866A6"/>
    <w:rsid w:val="00186834"/>
    <w:rsid w:val="00186AB9"/>
    <w:rsid w:val="00187762"/>
    <w:rsid w:val="0019001F"/>
    <w:rsid w:val="0019115E"/>
    <w:rsid w:val="0019157C"/>
    <w:rsid w:val="00192142"/>
    <w:rsid w:val="0019268F"/>
    <w:rsid w:val="0019444A"/>
    <w:rsid w:val="0019552A"/>
    <w:rsid w:val="00195949"/>
    <w:rsid w:val="00196756"/>
    <w:rsid w:val="00196A87"/>
    <w:rsid w:val="001A0356"/>
    <w:rsid w:val="001A0EA1"/>
    <w:rsid w:val="001A246A"/>
    <w:rsid w:val="001A388F"/>
    <w:rsid w:val="001A482D"/>
    <w:rsid w:val="001A4BEF"/>
    <w:rsid w:val="001A574F"/>
    <w:rsid w:val="001A67B0"/>
    <w:rsid w:val="001A6AD9"/>
    <w:rsid w:val="001A6D56"/>
    <w:rsid w:val="001A74A5"/>
    <w:rsid w:val="001A7B96"/>
    <w:rsid w:val="001B037F"/>
    <w:rsid w:val="001B176D"/>
    <w:rsid w:val="001B1981"/>
    <w:rsid w:val="001B1AEA"/>
    <w:rsid w:val="001B28B4"/>
    <w:rsid w:val="001B2911"/>
    <w:rsid w:val="001B2A8A"/>
    <w:rsid w:val="001B2ABD"/>
    <w:rsid w:val="001B2F08"/>
    <w:rsid w:val="001B4D1C"/>
    <w:rsid w:val="001B500F"/>
    <w:rsid w:val="001B512B"/>
    <w:rsid w:val="001B53D5"/>
    <w:rsid w:val="001B5443"/>
    <w:rsid w:val="001B584A"/>
    <w:rsid w:val="001B65AF"/>
    <w:rsid w:val="001B686E"/>
    <w:rsid w:val="001B7494"/>
    <w:rsid w:val="001C1CB6"/>
    <w:rsid w:val="001C1D8E"/>
    <w:rsid w:val="001C1FDD"/>
    <w:rsid w:val="001C2B2A"/>
    <w:rsid w:val="001C2C55"/>
    <w:rsid w:val="001C5373"/>
    <w:rsid w:val="001C5B3C"/>
    <w:rsid w:val="001C5CC1"/>
    <w:rsid w:val="001C6961"/>
    <w:rsid w:val="001C6B07"/>
    <w:rsid w:val="001C6B30"/>
    <w:rsid w:val="001C71BB"/>
    <w:rsid w:val="001C7B6E"/>
    <w:rsid w:val="001C7E56"/>
    <w:rsid w:val="001D1A9A"/>
    <w:rsid w:val="001D2028"/>
    <w:rsid w:val="001D23D1"/>
    <w:rsid w:val="001D2903"/>
    <w:rsid w:val="001D42DA"/>
    <w:rsid w:val="001D4BA9"/>
    <w:rsid w:val="001D6930"/>
    <w:rsid w:val="001D7DAB"/>
    <w:rsid w:val="001E0391"/>
    <w:rsid w:val="001E1057"/>
    <w:rsid w:val="001E1759"/>
    <w:rsid w:val="001E29E9"/>
    <w:rsid w:val="001E2D63"/>
    <w:rsid w:val="001E4133"/>
    <w:rsid w:val="001E4A36"/>
    <w:rsid w:val="001E4BF4"/>
    <w:rsid w:val="001E5953"/>
    <w:rsid w:val="001E5F10"/>
    <w:rsid w:val="001E69B6"/>
    <w:rsid w:val="001E6D07"/>
    <w:rsid w:val="001E74E5"/>
    <w:rsid w:val="001F1568"/>
    <w:rsid w:val="001F1AE8"/>
    <w:rsid w:val="001F1ECC"/>
    <w:rsid w:val="001F22D3"/>
    <w:rsid w:val="001F4DA1"/>
    <w:rsid w:val="001F50F7"/>
    <w:rsid w:val="001F62BA"/>
    <w:rsid w:val="001F664D"/>
    <w:rsid w:val="001F723B"/>
    <w:rsid w:val="0020117E"/>
    <w:rsid w:val="00201420"/>
    <w:rsid w:val="0020152E"/>
    <w:rsid w:val="0020180F"/>
    <w:rsid w:val="00201D63"/>
    <w:rsid w:val="00202BEF"/>
    <w:rsid w:val="00203ABA"/>
    <w:rsid w:val="00204686"/>
    <w:rsid w:val="00205263"/>
    <w:rsid w:val="00205612"/>
    <w:rsid w:val="00205ABE"/>
    <w:rsid w:val="002072B8"/>
    <w:rsid w:val="002072CB"/>
    <w:rsid w:val="00207C6A"/>
    <w:rsid w:val="00210014"/>
    <w:rsid w:val="0021062D"/>
    <w:rsid w:val="00210F1E"/>
    <w:rsid w:val="00211240"/>
    <w:rsid w:val="0021189F"/>
    <w:rsid w:val="0021234C"/>
    <w:rsid w:val="00212D72"/>
    <w:rsid w:val="00212E74"/>
    <w:rsid w:val="002132DC"/>
    <w:rsid w:val="00214BBF"/>
    <w:rsid w:val="00214EC6"/>
    <w:rsid w:val="0021516B"/>
    <w:rsid w:val="00215269"/>
    <w:rsid w:val="002159CB"/>
    <w:rsid w:val="00215AA3"/>
    <w:rsid w:val="0021765B"/>
    <w:rsid w:val="00217C7B"/>
    <w:rsid w:val="0022036E"/>
    <w:rsid w:val="002204B8"/>
    <w:rsid w:val="002208AC"/>
    <w:rsid w:val="0022131F"/>
    <w:rsid w:val="00221B47"/>
    <w:rsid w:val="00222820"/>
    <w:rsid w:val="00224529"/>
    <w:rsid w:val="002248B5"/>
    <w:rsid w:val="00224B15"/>
    <w:rsid w:val="0022575C"/>
    <w:rsid w:val="00227297"/>
    <w:rsid w:val="002279AD"/>
    <w:rsid w:val="0023154B"/>
    <w:rsid w:val="0023161A"/>
    <w:rsid w:val="002318E6"/>
    <w:rsid w:val="00231CF3"/>
    <w:rsid w:val="00232079"/>
    <w:rsid w:val="00232817"/>
    <w:rsid w:val="0023282B"/>
    <w:rsid w:val="002338B6"/>
    <w:rsid w:val="00233AC6"/>
    <w:rsid w:val="00234418"/>
    <w:rsid w:val="00235AAF"/>
    <w:rsid w:val="00235FA1"/>
    <w:rsid w:val="00236E83"/>
    <w:rsid w:val="00237FDE"/>
    <w:rsid w:val="002400EB"/>
    <w:rsid w:val="00240F4F"/>
    <w:rsid w:val="00241804"/>
    <w:rsid w:val="00242093"/>
    <w:rsid w:val="002422C5"/>
    <w:rsid w:val="00242A7D"/>
    <w:rsid w:val="00244746"/>
    <w:rsid w:val="00244846"/>
    <w:rsid w:val="00245859"/>
    <w:rsid w:val="002462FB"/>
    <w:rsid w:val="00247AA5"/>
    <w:rsid w:val="00247E9D"/>
    <w:rsid w:val="00250F9A"/>
    <w:rsid w:val="00252136"/>
    <w:rsid w:val="00252ADB"/>
    <w:rsid w:val="00252F52"/>
    <w:rsid w:val="00253FD9"/>
    <w:rsid w:val="00254493"/>
    <w:rsid w:val="0025458B"/>
    <w:rsid w:val="00254B17"/>
    <w:rsid w:val="0025509E"/>
    <w:rsid w:val="00255410"/>
    <w:rsid w:val="002559EC"/>
    <w:rsid w:val="00256444"/>
    <w:rsid w:val="00256CF7"/>
    <w:rsid w:val="002570E3"/>
    <w:rsid w:val="002612CC"/>
    <w:rsid w:val="00262244"/>
    <w:rsid w:val="0026281B"/>
    <w:rsid w:val="00262C60"/>
    <w:rsid w:val="00264C59"/>
    <w:rsid w:val="00264D33"/>
    <w:rsid w:val="002654E0"/>
    <w:rsid w:val="00265E28"/>
    <w:rsid w:val="00266320"/>
    <w:rsid w:val="00266DEC"/>
    <w:rsid w:val="00266F51"/>
    <w:rsid w:val="002703B9"/>
    <w:rsid w:val="00270ECF"/>
    <w:rsid w:val="002711AB"/>
    <w:rsid w:val="00271C70"/>
    <w:rsid w:val="00272222"/>
    <w:rsid w:val="002726B3"/>
    <w:rsid w:val="00274062"/>
    <w:rsid w:val="00274235"/>
    <w:rsid w:val="00274D1E"/>
    <w:rsid w:val="00275557"/>
    <w:rsid w:val="002760EE"/>
    <w:rsid w:val="00276A34"/>
    <w:rsid w:val="00277A33"/>
    <w:rsid w:val="002802AC"/>
    <w:rsid w:val="002806E9"/>
    <w:rsid w:val="00280714"/>
    <w:rsid w:val="00281826"/>
    <w:rsid w:val="00281FD5"/>
    <w:rsid w:val="00282CFB"/>
    <w:rsid w:val="00282E36"/>
    <w:rsid w:val="00283ED5"/>
    <w:rsid w:val="002841B9"/>
    <w:rsid w:val="0028439F"/>
    <w:rsid w:val="0028563D"/>
    <w:rsid w:val="00285C8F"/>
    <w:rsid w:val="00286925"/>
    <w:rsid w:val="0028725F"/>
    <w:rsid w:val="00290DA3"/>
    <w:rsid w:val="002910C1"/>
    <w:rsid w:val="00291B31"/>
    <w:rsid w:val="00291B80"/>
    <w:rsid w:val="00292686"/>
    <w:rsid w:val="00292E65"/>
    <w:rsid w:val="00292E6A"/>
    <w:rsid w:val="002934FD"/>
    <w:rsid w:val="0029596C"/>
    <w:rsid w:val="00296D21"/>
    <w:rsid w:val="00296FF8"/>
    <w:rsid w:val="00297510"/>
    <w:rsid w:val="00297EFB"/>
    <w:rsid w:val="002A14D6"/>
    <w:rsid w:val="002A2677"/>
    <w:rsid w:val="002A279C"/>
    <w:rsid w:val="002A32A5"/>
    <w:rsid w:val="002A3C9D"/>
    <w:rsid w:val="002A4FF6"/>
    <w:rsid w:val="002A5B40"/>
    <w:rsid w:val="002A6DB8"/>
    <w:rsid w:val="002A72BF"/>
    <w:rsid w:val="002A7F0C"/>
    <w:rsid w:val="002B065F"/>
    <w:rsid w:val="002B0D16"/>
    <w:rsid w:val="002B1326"/>
    <w:rsid w:val="002B13CD"/>
    <w:rsid w:val="002B1576"/>
    <w:rsid w:val="002B2ACB"/>
    <w:rsid w:val="002B373A"/>
    <w:rsid w:val="002B42B6"/>
    <w:rsid w:val="002B45A8"/>
    <w:rsid w:val="002B54A8"/>
    <w:rsid w:val="002B552C"/>
    <w:rsid w:val="002B5EA0"/>
    <w:rsid w:val="002B609F"/>
    <w:rsid w:val="002B6AEB"/>
    <w:rsid w:val="002B6C64"/>
    <w:rsid w:val="002C0157"/>
    <w:rsid w:val="002C027D"/>
    <w:rsid w:val="002C0444"/>
    <w:rsid w:val="002C0D42"/>
    <w:rsid w:val="002C1155"/>
    <w:rsid w:val="002C11C3"/>
    <w:rsid w:val="002C2320"/>
    <w:rsid w:val="002C24B9"/>
    <w:rsid w:val="002C2D0D"/>
    <w:rsid w:val="002C2EAD"/>
    <w:rsid w:val="002C3597"/>
    <w:rsid w:val="002C3632"/>
    <w:rsid w:val="002C3BE4"/>
    <w:rsid w:val="002C532E"/>
    <w:rsid w:val="002C5E02"/>
    <w:rsid w:val="002C6521"/>
    <w:rsid w:val="002C722B"/>
    <w:rsid w:val="002D0564"/>
    <w:rsid w:val="002D0745"/>
    <w:rsid w:val="002D0B2C"/>
    <w:rsid w:val="002D0F81"/>
    <w:rsid w:val="002D1A6B"/>
    <w:rsid w:val="002D1B7E"/>
    <w:rsid w:val="002D2125"/>
    <w:rsid w:val="002D2691"/>
    <w:rsid w:val="002D3976"/>
    <w:rsid w:val="002D3CA3"/>
    <w:rsid w:val="002D5266"/>
    <w:rsid w:val="002D5CEA"/>
    <w:rsid w:val="002D63AE"/>
    <w:rsid w:val="002D74E4"/>
    <w:rsid w:val="002D7B9B"/>
    <w:rsid w:val="002D7D26"/>
    <w:rsid w:val="002E0A3C"/>
    <w:rsid w:val="002E1BCA"/>
    <w:rsid w:val="002E230D"/>
    <w:rsid w:val="002E28A4"/>
    <w:rsid w:val="002E330C"/>
    <w:rsid w:val="002E34C3"/>
    <w:rsid w:val="002E49AB"/>
    <w:rsid w:val="002E545E"/>
    <w:rsid w:val="002E60C7"/>
    <w:rsid w:val="002E7302"/>
    <w:rsid w:val="002F057E"/>
    <w:rsid w:val="002F07AC"/>
    <w:rsid w:val="002F0E52"/>
    <w:rsid w:val="002F13ED"/>
    <w:rsid w:val="002F1E61"/>
    <w:rsid w:val="002F2603"/>
    <w:rsid w:val="002F3098"/>
    <w:rsid w:val="002F37CF"/>
    <w:rsid w:val="002F4521"/>
    <w:rsid w:val="002F5229"/>
    <w:rsid w:val="002F5CED"/>
    <w:rsid w:val="002F6028"/>
    <w:rsid w:val="002F7CAF"/>
    <w:rsid w:val="003005D0"/>
    <w:rsid w:val="00301CC8"/>
    <w:rsid w:val="00301E7E"/>
    <w:rsid w:val="00302501"/>
    <w:rsid w:val="0030298C"/>
    <w:rsid w:val="00303C8B"/>
    <w:rsid w:val="00303D0D"/>
    <w:rsid w:val="0030420C"/>
    <w:rsid w:val="00304277"/>
    <w:rsid w:val="0030481B"/>
    <w:rsid w:val="00306139"/>
    <w:rsid w:val="00306600"/>
    <w:rsid w:val="00306DA6"/>
    <w:rsid w:val="00307573"/>
    <w:rsid w:val="0030757E"/>
    <w:rsid w:val="00307B2C"/>
    <w:rsid w:val="0031062F"/>
    <w:rsid w:val="003107A6"/>
    <w:rsid w:val="00310EF4"/>
    <w:rsid w:val="00311D15"/>
    <w:rsid w:val="00311E1E"/>
    <w:rsid w:val="003143DE"/>
    <w:rsid w:val="00314B8C"/>
    <w:rsid w:val="00314C66"/>
    <w:rsid w:val="00314FD5"/>
    <w:rsid w:val="00315282"/>
    <w:rsid w:val="00315343"/>
    <w:rsid w:val="00315501"/>
    <w:rsid w:val="003156FC"/>
    <w:rsid w:val="003158C6"/>
    <w:rsid w:val="00315E3D"/>
    <w:rsid w:val="003162C9"/>
    <w:rsid w:val="00316611"/>
    <w:rsid w:val="00316899"/>
    <w:rsid w:val="00316F21"/>
    <w:rsid w:val="00317C6F"/>
    <w:rsid w:val="00320075"/>
    <w:rsid w:val="00321127"/>
    <w:rsid w:val="003214CF"/>
    <w:rsid w:val="003219B3"/>
    <w:rsid w:val="00322194"/>
    <w:rsid w:val="00322569"/>
    <w:rsid w:val="003227FE"/>
    <w:rsid w:val="003231D7"/>
    <w:rsid w:val="003254B5"/>
    <w:rsid w:val="00325636"/>
    <w:rsid w:val="003261CD"/>
    <w:rsid w:val="00326318"/>
    <w:rsid w:val="0032742D"/>
    <w:rsid w:val="003300C7"/>
    <w:rsid w:val="00330A16"/>
    <w:rsid w:val="00330BBF"/>
    <w:rsid w:val="00330E5A"/>
    <w:rsid w:val="00332087"/>
    <w:rsid w:val="00333B12"/>
    <w:rsid w:val="00333B59"/>
    <w:rsid w:val="0033471B"/>
    <w:rsid w:val="00334C9C"/>
    <w:rsid w:val="00335E6E"/>
    <w:rsid w:val="003363DD"/>
    <w:rsid w:val="0033648C"/>
    <w:rsid w:val="0033664B"/>
    <w:rsid w:val="00336F0B"/>
    <w:rsid w:val="00337100"/>
    <w:rsid w:val="00337864"/>
    <w:rsid w:val="00340601"/>
    <w:rsid w:val="00340DAA"/>
    <w:rsid w:val="003419AA"/>
    <w:rsid w:val="00341B61"/>
    <w:rsid w:val="003425EE"/>
    <w:rsid w:val="00343A4D"/>
    <w:rsid w:val="003441F4"/>
    <w:rsid w:val="0034428A"/>
    <w:rsid w:val="00346172"/>
    <w:rsid w:val="00346C52"/>
    <w:rsid w:val="00346F8F"/>
    <w:rsid w:val="00347591"/>
    <w:rsid w:val="00347A21"/>
    <w:rsid w:val="00347B1A"/>
    <w:rsid w:val="00347E90"/>
    <w:rsid w:val="00350765"/>
    <w:rsid w:val="00350C1A"/>
    <w:rsid w:val="00350F65"/>
    <w:rsid w:val="00350F8E"/>
    <w:rsid w:val="003522CC"/>
    <w:rsid w:val="0035238E"/>
    <w:rsid w:val="00352670"/>
    <w:rsid w:val="003528CF"/>
    <w:rsid w:val="0035290F"/>
    <w:rsid w:val="0035431A"/>
    <w:rsid w:val="00354A05"/>
    <w:rsid w:val="00354A0F"/>
    <w:rsid w:val="00354DEF"/>
    <w:rsid w:val="003568CC"/>
    <w:rsid w:val="00357241"/>
    <w:rsid w:val="0035796F"/>
    <w:rsid w:val="00357A37"/>
    <w:rsid w:val="00360076"/>
    <w:rsid w:val="003603A7"/>
    <w:rsid w:val="00360DA9"/>
    <w:rsid w:val="00361255"/>
    <w:rsid w:val="003619ED"/>
    <w:rsid w:val="0036230D"/>
    <w:rsid w:val="0036250F"/>
    <w:rsid w:val="00363F87"/>
    <w:rsid w:val="00363F8C"/>
    <w:rsid w:val="00364170"/>
    <w:rsid w:val="0036499C"/>
    <w:rsid w:val="0036783F"/>
    <w:rsid w:val="00367A42"/>
    <w:rsid w:val="00367E98"/>
    <w:rsid w:val="00370161"/>
    <w:rsid w:val="00370990"/>
    <w:rsid w:val="00370B3A"/>
    <w:rsid w:val="0037121F"/>
    <w:rsid w:val="00371A06"/>
    <w:rsid w:val="00371CD8"/>
    <w:rsid w:val="00371DE1"/>
    <w:rsid w:val="003729BE"/>
    <w:rsid w:val="00372AD6"/>
    <w:rsid w:val="00372C87"/>
    <w:rsid w:val="00372E08"/>
    <w:rsid w:val="0037302A"/>
    <w:rsid w:val="00373635"/>
    <w:rsid w:val="0037370E"/>
    <w:rsid w:val="00373904"/>
    <w:rsid w:val="003744EE"/>
    <w:rsid w:val="00374921"/>
    <w:rsid w:val="00374D3F"/>
    <w:rsid w:val="00374FDF"/>
    <w:rsid w:val="00375005"/>
    <w:rsid w:val="003758FB"/>
    <w:rsid w:val="00375D15"/>
    <w:rsid w:val="00376A15"/>
    <w:rsid w:val="00376A39"/>
    <w:rsid w:val="00376E0C"/>
    <w:rsid w:val="003778F5"/>
    <w:rsid w:val="00377A3A"/>
    <w:rsid w:val="00377ED8"/>
    <w:rsid w:val="003803E2"/>
    <w:rsid w:val="00380F8D"/>
    <w:rsid w:val="00381568"/>
    <w:rsid w:val="00381C5A"/>
    <w:rsid w:val="00381FE8"/>
    <w:rsid w:val="00382653"/>
    <w:rsid w:val="0038300C"/>
    <w:rsid w:val="00384F96"/>
    <w:rsid w:val="00385904"/>
    <w:rsid w:val="003860FA"/>
    <w:rsid w:val="003867A1"/>
    <w:rsid w:val="00386DE3"/>
    <w:rsid w:val="00386DE8"/>
    <w:rsid w:val="00386E94"/>
    <w:rsid w:val="00386E9E"/>
    <w:rsid w:val="0038703B"/>
    <w:rsid w:val="00390402"/>
    <w:rsid w:val="00390447"/>
    <w:rsid w:val="00390A52"/>
    <w:rsid w:val="0039102D"/>
    <w:rsid w:val="003912A0"/>
    <w:rsid w:val="00391917"/>
    <w:rsid w:val="00391CE8"/>
    <w:rsid w:val="0039233E"/>
    <w:rsid w:val="00393942"/>
    <w:rsid w:val="00393EB8"/>
    <w:rsid w:val="003968D7"/>
    <w:rsid w:val="00396A07"/>
    <w:rsid w:val="0039717D"/>
    <w:rsid w:val="003973A0"/>
    <w:rsid w:val="00397876"/>
    <w:rsid w:val="00397AC3"/>
    <w:rsid w:val="00397C20"/>
    <w:rsid w:val="00397DD0"/>
    <w:rsid w:val="003A0135"/>
    <w:rsid w:val="003A1424"/>
    <w:rsid w:val="003A2304"/>
    <w:rsid w:val="003A2F5C"/>
    <w:rsid w:val="003A3A48"/>
    <w:rsid w:val="003A4074"/>
    <w:rsid w:val="003A5278"/>
    <w:rsid w:val="003A59D3"/>
    <w:rsid w:val="003A602E"/>
    <w:rsid w:val="003A6B7D"/>
    <w:rsid w:val="003A7DD6"/>
    <w:rsid w:val="003B00FB"/>
    <w:rsid w:val="003B06CA"/>
    <w:rsid w:val="003B1290"/>
    <w:rsid w:val="003B136A"/>
    <w:rsid w:val="003B14F5"/>
    <w:rsid w:val="003B15A3"/>
    <w:rsid w:val="003B1AAA"/>
    <w:rsid w:val="003B20CF"/>
    <w:rsid w:val="003B2615"/>
    <w:rsid w:val="003B2BC7"/>
    <w:rsid w:val="003B2CF4"/>
    <w:rsid w:val="003B2FE6"/>
    <w:rsid w:val="003B3C2E"/>
    <w:rsid w:val="003B3ECC"/>
    <w:rsid w:val="003B4382"/>
    <w:rsid w:val="003B4A48"/>
    <w:rsid w:val="003B59C2"/>
    <w:rsid w:val="003B5E7A"/>
    <w:rsid w:val="003B67AC"/>
    <w:rsid w:val="003B6B80"/>
    <w:rsid w:val="003B6E4B"/>
    <w:rsid w:val="003B73F0"/>
    <w:rsid w:val="003B7650"/>
    <w:rsid w:val="003C04BD"/>
    <w:rsid w:val="003C09AE"/>
    <w:rsid w:val="003C1648"/>
    <w:rsid w:val="003C19A2"/>
    <w:rsid w:val="003C3885"/>
    <w:rsid w:val="003C3A6D"/>
    <w:rsid w:val="003C406D"/>
    <w:rsid w:val="003C454A"/>
    <w:rsid w:val="003C709A"/>
    <w:rsid w:val="003D14E1"/>
    <w:rsid w:val="003D176C"/>
    <w:rsid w:val="003D376F"/>
    <w:rsid w:val="003D3783"/>
    <w:rsid w:val="003D3D89"/>
    <w:rsid w:val="003D410F"/>
    <w:rsid w:val="003D452C"/>
    <w:rsid w:val="003D4922"/>
    <w:rsid w:val="003D4CE9"/>
    <w:rsid w:val="003D5925"/>
    <w:rsid w:val="003D6016"/>
    <w:rsid w:val="003D618F"/>
    <w:rsid w:val="003D643E"/>
    <w:rsid w:val="003D660B"/>
    <w:rsid w:val="003E059E"/>
    <w:rsid w:val="003E149B"/>
    <w:rsid w:val="003E3C48"/>
    <w:rsid w:val="003E3FA9"/>
    <w:rsid w:val="003E5DF7"/>
    <w:rsid w:val="003E6196"/>
    <w:rsid w:val="003E6779"/>
    <w:rsid w:val="003E7546"/>
    <w:rsid w:val="003F01FE"/>
    <w:rsid w:val="003F10A8"/>
    <w:rsid w:val="003F25D1"/>
    <w:rsid w:val="003F3901"/>
    <w:rsid w:val="003F3EFB"/>
    <w:rsid w:val="003F544E"/>
    <w:rsid w:val="003F5BED"/>
    <w:rsid w:val="003F5F44"/>
    <w:rsid w:val="003F660B"/>
    <w:rsid w:val="003F7155"/>
    <w:rsid w:val="003F74BA"/>
    <w:rsid w:val="004013F1"/>
    <w:rsid w:val="00402543"/>
    <w:rsid w:val="00402C7B"/>
    <w:rsid w:val="004035D4"/>
    <w:rsid w:val="00403D69"/>
    <w:rsid w:val="00404B9A"/>
    <w:rsid w:val="00405398"/>
    <w:rsid w:val="00406F29"/>
    <w:rsid w:val="004071FC"/>
    <w:rsid w:val="00410045"/>
    <w:rsid w:val="00411B47"/>
    <w:rsid w:val="00411EB1"/>
    <w:rsid w:val="00412C0D"/>
    <w:rsid w:val="00412EE0"/>
    <w:rsid w:val="00414291"/>
    <w:rsid w:val="004142CD"/>
    <w:rsid w:val="004144EC"/>
    <w:rsid w:val="004145F0"/>
    <w:rsid w:val="00414E67"/>
    <w:rsid w:val="00415DCD"/>
    <w:rsid w:val="00416412"/>
    <w:rsid w:val="00416660"/>
    <w:rsid w:val="004171CE"/>
    <w:rsid w:val="00417935"/>
    <w:rsid w:val="00417E49"/>
    <w:rsid w:val="00420145"/>
    <w:rsid w:val="00420D79"/>
    <w:rsid w:val="004215CF"/>
    <w:rsid w:val="00421640"/>
    <w:rsid w:val="00423438"/>
    <w:rsid w:val="00424F37"/>
    <w:rsid w:val="00425634"/>
    <w:rsid w:val="00425C0A"/>
    <w:rsid w:val="00425C27"/>
    <w:rsid w:val="00425DD0"/>
    <w:rsid w:val="004260C0"/>
    <w:rsid w:val="00426C79"/>
    <w:rsid w:val="00427027"/>
    <w:rsid w:val="00427142"/>
    <w:rsid w:val="004276DF"/>
    <w:rsid w:val="00427709"/>
    <w:rsid w:val="00427CCB"/>
    <w:rsid w:val="004328BE"/>
    <w:rsid w:val="00433176"/>
    <w:rsid w:val="00433419"/>
    <w:rsid w:val="00433C78"/>
    <w:rsid w:val="00434181"/>
    <w:rsid w:val="00434DE2"/>
    <w:rsid w:val="00435B7A"/>
    <w:rsid w:val="004378B0"/>
    <w:rsid w:val="00441A74"/>
    <w:rsid w:val="004422C7"/>
    <w:rsid w:val="00442318"/>
    <w:rsid w:val="00442DE1"/>
    <w:rsid w:val="00442FDD"/>
    <w:rsid w:val="004446E6"/>
    <w:rsid w:val="00444F5F"/>
    <w:rsid w:val="00445947"/>
    <w:rsid w:val="00446A01"/>
    <w:rsid w:val="00446C6F"/>
    <w:rsid w:val="00447102"/>
    <w:rsid w:val="004476E3"/>
    <w:rsid w:val="004477FE"/>
    <w:rsid w:val="00450169"/>
    <w:rsid w:val="00450BBE"/>
    <w:rsid w:val="0045182B"/>
    <w:rsid w:val="00451EF3"/>
    <w:rsid w:val="00452F33"/>
    <w:rsid w:val="004538CD"/>
    <w:rsid w:val="004545F1"/>
    <w:rsid w:val="0045465D"/>
    <w:rsid w:val="00454B7C"/>
    <w:rsid w:val="00455442"/>
    <w:rsid w:val="0045557B"/>
    <w:rsid w:val="00455A61"/>
    <w:rsid w:val="004560A3"/>
    <w:rsid w:val="004561E8"/>
    <w:rsid w:val="00456207"/>
    <w:rsid w:val="0045667A"/>
    <w:rsid w:val="00456F82"/>
    <w:rsid w:val="004575E9"/>
    <w:rsid w:val="00457F37"/>
    <w:rsid w:val="00461161"/>
    <w:rsid w:val="0046122D"/>
    <w:rsid w:val="00461E04"/>
    <w:rsid w:val="00463480"/>
    <w:rsid w:val="00465D44"/>
    <w:rsid w:val="0046673A"/>
    <w:rsid w:val="00467CBD"/>
    <w:rsid w:val="00467FD9"/>
    <w:rsid w:val="00471240"/>
    <w:rsid w:val="00471962"/>
    <w:rsid w:val="00472B27"/>
    <w:rsid w:val="004738F8"/>
    <w:rsid w:val="004746A3"/>
    <w:rsid w:val="004746CD"/>
    <w:rsid w:val="0047483E"/>
    <w:rsid w:val="00476417"/>
    <w:rsid w:val="00476423"/>
    <w:rsid w:val="00476A40"/>
    <w:rsid w:val="00476A87"/>
    <w:rsid w:val="00477153"/>
    <w:rsid w:val="004771AF"/>
    <w:rsid w:val="004776BD"/>
    <w:rsid w:val="00477E30"/>
    <w:rsid w:val="0048068A"/>
    <w:rsid w:val="004806D7"/>
    <w:rsid w:val="00480960"/>
    <w:rsid w:val="00480EEA"/>
    <w:rsid w:val="00481088"/>
    <w:rsid w:val="004813B3"/>
    <w:rsid w:val="00481F97"/>
    <w:rsid w:val="0048237C"/>
    <w:rsid w:val="00482CC4"/>
    <w:rsid w:val="00483E18"/>
    <w:rsid w:val="00484D24"/>
    <w:rsid w:val="00485A18"/>
    <w:rsid w:val="004866B4"/>
    <w:rsid w:val="004878EF"/>
    <w:rsid w:val="004909AA"/>
    <w:rsid w:val="00491233"/>
    <w:rsid w:val="004916E3"/>
    <w:rsid w:val="004945C3"/>
    <w:rsid w:val="00495702"/>
    <w:rsid w:val="00495FF3"/>
    <w:rsid w:val="00496591"/>
    <w:rsid w:val="0049660A"/>
    <w:rsid w:val="0049674B"/>
    <w:rsid w:val="00496931"/>
    <w:rsid w:val="00496CBC"/>
    <w:rsid w:val="00496F61"/>
    <w:rsid w:val="004A1C51"/>
    <w:rsid w:val="004A252F"/>
    <w:rsid w:val="004A2B9D"/>
    <w:rsid w:val="004A3CF2"/>
    <w:rsid w:val="004A4529"/>
    <w:rsid w:val="004A4643"/>
    <w:rsid w:val="004A46D9"/>
    <w:rsid w:val="004A5A22"/>
    <w:rsid w:val="004A6C0F"/>
    <w:rsid w:val="004A6CD8"/>
    <w:rsid w:val="004A6F79"/>
    <w:rsid w:val="004A7153"/>
    <w:rsid w:val="004B05C2"/>
    <w:rsid w:val="004B0A64"/>
    <w:rsid w:val="004B0E1F"/>
    <w:rsid w:val="004B0FE7"/>
    <w:rsid w:val="004B25D6"/>
    <w:rsid w:val="004B27B2"/>
    <w:rsid w:val="004B3430"/>
    <w:rsid w:val="004B4B63"/>
    <w:rsid w:val="004B4C83"/>
    <w:rsid w:val="004B520B"/>
    <w:rsid w:val="004B6DE0"/>
    <w:rsid w:val="004B7FD6"/>
    <w:rsid w:val="004C0666"/>
    <w:rsid w:val="004C0D93"/>
    <w:rsid w:val="004C2339"/>
    <w:rsid w:val="004C3551"/>
    <w:rsid w:val="004C3CB8"/>
    <w:rsid w:val="004C5A04"/>
    <w:rsid w:val="004C5F35"/>
    <w:rsid w:val="004C6120"/>
    <w:rsid w:val="004C62FE"/>
    <w:rsid w:val="004C63E4"/>
    <w:rsid w:val="004D031B"/>
    <w:rsid w:val="004D0FD9"/>
    <w:rsid w:val="004D2059"/>
    <w:rsid w:val="004D2632"/>
    <w:rsid w:val="004D3011"/>
    <w:rsid w:val="004D3D5F"/>
    <w:rsid w:val="004D3D83"/>
    <w:rsid w:val="004D4EDB"/>
    <w:rsid w:val="004D6035"/>
    <w:rsid w:val="004D726F"/>
    <w:rsid w:val="004D749D"/>
    <w:rsid w:val="004D7D4E"/>
    <w:rsid w:val="004D7EE7"/>
    <w:rsid w:val="004E02EA"/>
    <w:rsid w:val="004E080A"/>
    <w:rsid w:val="004E13F3"/>
    <w:rsid w:val="004E1A16"/>
    <w:rsid w:val="004E2F6E"/>
    <w:rsid w:val="004E36AE"/>
    <w:rsid w:val="004E3A94"/>
    <w:rsid w:val="004E48CE"/>
    <w:rsid w:val="004E518F"/>
    <w:rsid w:val="004E5504"/>
    <w:rsid w:val="004E66DE"/>
    <w:rsid w:val="004E7445"/>
    <w:rsid w:val="004E7755"/>
    <w:rsid w:val="004F074B"/>
    <w:rsid w:val="004F5377"/>
    <w:rsid w:val="004F57D0"/>
    <w:rsid w:val="004F5A71"/>
    <w:rsid w:val="004F5CDB"/>
    <w:rsid w:val="004F645D"/>
    <w:rsid w:val="004F66EC"/>
    <w:rsid w:val="004F66F0"/>
    <w:rsid w:val="004F737E"/>
    <w:rsid w:val="004F764B"/>
    <w:rsid w:val="004F76D9"/>
    <w:rsid w:val="004F7F5A"/>
    <w:rsid w:val="00501B11"/>
    <w:rsid w:val="00501FEC"/>
    <w:rsid w:val="00502599"/>
    <w:rsid w:val="00504C50"/>
    <w:rsid w:val="00504FE3"/>
    <w:rsid w:val="00505350"/>
    <w:rsid w:val="005061AC"/>
    <w:rsid w:val="00506DDE"/>
    <w:rsid w:val="0050743B"/>
    <w:rsid w:val="005079F3"/>
    <w:rsid w:val="00507B28"/>
    <w:rsid w:val="005110E4"/>
    <w:rsid w:val="005113B1"/>
    <w:rsid w:val="00511FA1"/>
    <w:rsid w:val="005128C8"/>
    <w:rsid w:val="00512EEB"/>
    <w:rsid w:val="00513796"/>
    <w:rsid w:val="00513F0B"/>
    <w:rsid w:val="00513F77"/>
    <w:rsid w:val="00513F9F"/>
    <w:rsid w:val="00514010"/>
    <w:rsid w:val="005142DA"/>
    <w:rsid w:val="00514DB5"/>
    <w:rsid w:val="005159FE"/>
    <w:rsid w:val="00516018"/>
    <w:rsid w:val="00516CB7"/>
    <w:rsid w:val="0051796C"/>
    <w:rsid w:val="00517E57"/>
    <w:rsid w:val="00520535"/>
    <w:rsid w:val="0052086A"/>
    <w:rsid w:val="005210FA"/>
    <w:rsid w:val="00521856"/>
    <w:rsid w:val="00522117"/>
    <w:rsid w:val="00522B30"/>
    <w:rsid w:val="00522BF6"/>
    <w:rsid w:val="005234C5"/>
    <w:rsid w:val="005254A8"/>
    <w:rsid w:val="005257CF"/>
    <w:rsid w:val="005262AC"/>
    <w:rsid w:val="00526C2E"/>
    <w:rsid w:val="00530AED"/>
    <w:rsid w:val="00530FF4"/>
    <w:rsid w:val="0053161C"/>
    <w:rsid w:val="0053191F"/>
    <w:rsid w:val="00531E7C"/>
    <w:rsid w:val="00532BF6"/>
    <w:rsid w:val="00532C9A"/>
    <w:rsid w:val="00533638"/>
    <w:rsid w:val="005367AB"/>
    <w:rsid w:val="00536A85"/>
    <w:rsid w:val="00536AC2"/>
    <w:rsid w:val="00536D16"/>
    <w:rsid w:val="0053730D"/>
    <w:rsid w:val="00537D7B"/>
    <w:rsid w:val="00540786"/>
    <w:rsid w:val="00540AE4"/>
    <w:rsid w:val="00541675"/>
    <w:rsid w:val="00543A92"/>
    <w:rsid w:val="00543EAC"/>
    <w:rsid w:val="00543FCC"/>
    <w:rsid w:val="0054491B"/>
    <w:rsid w:val="005449C2"/>
    <w:rsid w:val="00544B97"/>
    <w:rsid w:val="0054501D"/>
    <w:rsid w:val="00545224"/>
    <w:rsid w:val="00545A73"/>
    <w:rsid w:val="00546A12"/>
    <w:rsid w:val="005474E1"/>
    <w:rsid w:val="0054769E"/>
    <w:rsid w:val="00547739"/>
    <w:rsid w:val="00547860"/>
    <w:rsid w:val="00551663"/>
    <w:rsid w:val="005525EC"/>
    <w:rsid w:val="00554A0B"/>
    <w:rsid w:val="00554B39"/>
    <w:rsid w:val="00555274"/>
    <w:rsid w:val="00556C17"/>
    <w:rsid w:val="0055711B"/>
    <w:rsid w:val="00560042"/>
    <w:rsid w:val="0056069D"/>
    <w:rsid w:val="00561804"/>
    <w:rsid w:val="00562263"/>
    <w:rsid w:val="005631FE"/>
    <w:rsid w:val="0056358C"/>
    <w:rsid w:val="00563E00"/>
    <w:rsid w:val="00563EF3"/>
    <w:rsid w:val="0056474A"/>
    <w:rsid w:val="00565659"/>
    <w:rsid w:val="005662BF"/>
    <w:rsid w:val="00566706"/>
    <w:rsid w:val="00567587"/>
    <w:rsid w:val="00567C7E"/>
    <w:rsid w:val="00570BFD"/>
    <w:rsid w:val="00571238"/>
    <w:rsid w:val="005725E6"/>
    <w:rsid w:val="00572BD2"/>
    <w:rsid w:val="0057354D"/>
    <w:rsid w:val="00573E20"/>
    <w:rsid w:val="00574B88"/>
    <w:rsid w:val="00574D92"/>
    <w:rsid w:val="00575655"/>
    <w:rsid w:val="00575E68"/>
    <w:rsid w:val="00577739"/>
    <w:rsid w:val="00577928"/>
    <w:rsid w:val="005800A4"/>
    <w:rsid w:val="005817DD"/>
    <w:rsid w:val="005824FC"/>
    <w:rsid w:val="005828AC"/>
    <w:rsid w:val="00582FDC"/>
    <w:rsid w:val="00584A3C"/>
    <w:rsid w:val="00584B27"/>
    <w:rsid w:val="00586237"/>
    <w:rsid w:val="00586E9D"/>
    <w:rsid w:val="005871D6"/>
    <w:rsid w:val="005876CC"/>
    <w:rsid w:val="005877C4"/>
    <w:rsid w:val="005878CE"/>
    <w:rsid w:val="00590CB7"/>
    <w:rsid w:val="005928F1"/>
    <w:rsid w:val="00594903"/>
    <w:rsid w:val="00594D99"/>
    <w:rsid w:val="00596085"/>
    <w:rsid w:val="00596444"/>
    <w:rsid w:val="0059649E"/>
    <w:rsid w:val="00596646"/>
    <w:rsid w:val="00596D42"/>
    <w:rsid w:val="005977F5"/>
    <w:rsid w:val="00597AB4"/>
    <w:rsid w:val="00597B34"/>
    <w:rsid w:val="005A1D4A"/>
    <w:rsid w:val="005A27BF"/>
    <w:rsid w:val="005A2B07"/>
    <w:rsid w:val="005A2B5B"/>
    <w:rsid w:val="005A2D41"/>
    <w:rsid w:val="005A35D8"/>
    <w:rsid w:val="005A37A8"/>
    <w:rsid w:val="005A454D"/>
    <w:rsid w:val="005A78C6"/>
    <w:rsid w:val="005A7A5A"/>
    <w:rsid w:val="005A7B95"/>
    <w:rsid w:val="005B0C92"/>
    <w:rsid w:val="005B12F0"/>
    <w:rsid w:val="005B16D1"/>
    <w:rsid w:val="005B26CE"/>
    <w:rsid w:val="005B2A82"/>
    <w:rsid w:val="005B2DC2"/>
    <w:rsid w:val="005B3595"/>
    <w:rsid w:val="005B4A62"/>
    <w:rsid w:val="005B52E7"/>
    <w:rsid w:val="005B64CD"/>
    <w:rsid w:val="005B66D6"/>
    <w:rsid w:val="005B7BFB"/>
    <w:rsid w:val="005C0102"/>
    <w:rsid w:val="005C0C2B"/>
    <w:rsid w:val="005C10D1"/>
    <w:rsid w:val="005C1B20"/>
    <w:rsid w:val="005C20E9"/>
    <w:rsid w:val="005C3ADA"/>
    <w:rsid w:val="005C4A97"/>
    <w:rsid w:val="005C5057"/>
    <w:rsid w:val="005C57A9"/>
    <w:rsid w:val="005C60F4"/>
    <w:rsid w:val="005C651F"/>
    <w:rsid w:val="005C686F"/>
    <w:rsid w:val="005C755C"/>
    <w:rsid w:val="005D07D2"/>
    <w:rsid w:val="005D16E3"/>
    <w:rsid w:val="005D1C17"/>
    <w:rsid w:val="005D1E55"/>
    <w:rsid w:val="005D1EE4"/>
    <w:rsid w:val="005D2094"/>
    <w:rsid w:val="005D22CD"/>
    <w:rsid w:val="005D38D8"/>
    <w:rsid w:val="005D5D02"/>
    <w:rsid w:val="005D72F2"/>
    <w:rsid w:val="005D75A9"/>
    <w:rsid w:val="005E04BD"/>
    <w:rsid w:val="005E090D"/>
    <w:rsid w:val="005E0B86"/>
    <w:rsid w:val="005E0DD4"/>
    <w:rsid w:val="005E1141"/>
    <w:rsid w:val="005E1A2C"/>
    <w:rsid w:val="005E38F0"/>
    <w:rsid w:val="005E39D5"/>
    <w:rsid w:val="005E3AEE"/>
    <w:rsid w:val="005E3CC0"/>
    <w:rsid w:val="005E40D1"/>
    <w:rsid w:val="005E5D8A"/>
    <w:rsid w:val="005E6ECC"/>
    <w:rsid w:val="005E72C6"/>
    <w:rsid w:val="005E7410"/>
    <w:rsid w:val="005F045E"/>
    <w:rsid w:val="005F2C1E"/>
    <w:rsid w:val="005F3287"/>
    <w:rsid w:val="005F35F0"/>
    <w:rsid w:val="005F402A"/>
    <w:rsid w:val="005F441E"/>
    <w:rsid w:val="005F4E32"/>
    <w:rsid w:val="005F626C"/>
    <w:rsid w:val="005F6389"/>
    <w:rsid w:val="005F65B8"/>
    <w:rsid w:val="005F6899"/>
    <w:rsid w:val="00600670"/>
    <w:rsid w:val="00601940"/>
    <w:rsid w:val="00601D50"/>
    <w:rsid w:val="00602250"/>
    <w:rsid w:val="00602B56"/>
    <w:rsid w:val="006033C6"/>
    <w:rsid w:val="00603FE0"/>
    <w:rsid w:val="006045D3"/>
    <w:rsid w:val="00607399"/>
    <w:rsid w:val="00607632"/>
    <w:rsid w:val="0060793F"/>
    <w:rsid w:val="00610417"/>
    <w:rsid w:val="00610800"/>
    <w:rsid w:val="00610826"/>
    <w:rsid w:val="00610A9B"/>
    <w:rsid w:val="00610E7A"/>
    <w:rsid w:val="00610FF1"/>
    <w:rsid w:val="00612E9C"/>
    <w:rsid w:val="0061395A"/>
    <w:rsid w:val="00613CAE"/>
    <w:rsid w:val="0061402A"/>
    <w:rsid w:val="00614177"/>
    <w:rsid w:val="00614494"/>
    <w:rsid w:val="00615C55"/>
    <w:rsid w:val="00616144"/>
    <w:rsid w:val="006176E6"/>
    <w:rsid w:val="0062006C"/>
    <w:rsid w:val="00620251"/>
    <w:rsid w:val="0062123A"/>
    <w:rsid w:val="006217F3"/>
    <w:rsid w:val="00622257"/>
    <w:rsid w:val="0062228C"/>
    <w:rsid w:val="00622B0B"/>
    <w:rsid w:val="00622D36"/>
    <w:rsid w:val="00625840"/>
    <w:rsid w:val="0062603F"/>
    <w:rsid w:val="00626E3C"/>
    <w:rsid w:val="00627E3B"/>
    <w:rsid w:val="006312F0"/>
    <w:rsid w:val="00631A31"/>
    <w:rsid w:val="00632278"/>
    <w:rsid w:val="006338F0"/>
    <w:rsid w:val="00633FAF"/>
    <w:rsid w:val="00635215"/>
    <w:rsid w:val="0063521E"/>
    <w:rsid w:val="006359B4"/>
    <w:rsid w:val="00636279"/>
    <w:rsid w:val="00636687"/>
    <w:rsid w:val="0063695D"/>
    <w:rsid w:val="00637F1E"/>
    <w:rsid w:val="006411E9"/>
    <w:rsid w:val="00641BC5"/>
    <w:rsid w:val="006424D5"/>
    <w:rsid w:val="00643140"/>
    <w:rsid w:val="00643908"/>
    <w:rsid w:val="00644C62"/>
    <w:rsid w:val="00644EA8"/>
    <w:rsid w:val="0064506B"/>
    <w:rsid w:val="00646244"/>
    <w:rsid w:val="00646E75"/>
    <w:rsid w:val="00647263"/>
    <w:rsid w:val="00647E60"/>
    <w:rsid w:val="00650351"/>
    <w:rsid w:val="006530CC"/>
    <w:rsid w:val="00653B9F"/>
    <w:rsid w:val="00655274"/>
    <w:rsid w:val="0065534E"/>
    <w:rsid w:val="00655674"/>
    <w:rsid w:val="0065576D"/>
    <w:rsid w:val="00656FB7"/>
    <w:rsid w:val="00657976"/>
    <w:rsid w:val="006602A4"/>
    <w:rsid w:val="006603A1"/>
    <w:rsid w:val="006616E0"/>
    <w:rsid w:val="00664646"/>
    <w:rsid w:val="006647F1"/>
    <w:rsid w:val="006649FF"/>
    <w:rsid w:val="006657D6"/>
    <w:rsid w:val="00667985"/>
    <w:rsid w:val="00667B32"/>
    <w:rsid w:val="006707EF"/>
    <w:rsid w:val="0067139E"/>
    <w:rsid w:val="00671A39"/>
    <w:rsid w:val="006725E5"/>
    <w:rsid w:val="006727C4"/>
    <w:rsid w:val="006729CB"/>
    <w:rsid w:val="00672BAB"/>
    <w:rsid w:val="00674646"/>
    <w:rsid w:val="00675204"/>
    <w:rsid w:val="0067611E"/>
    <w:rsid w:val="006764E7"/>
    <w:rsid w:val="006769DE"/>
    <w:rsid w:val="0067719E"/>
    <w:rsid w:val="006771D0"/>
    <w:rsid w:val="006825E3"/>
    <w:rsid w:val="006838CD"/>
    <w:rsid w:val="00684E68"/>
    <w:rsid w:val="006851ED"/>
    <w:rsid w:val="00685E5D"/>
    <w:rsid w:val="006862F1"/>
    <w:rsid w:val="00686728"/>
    <w:rsid w:val="0068686D"/>
    <w:rsid w:val="00687C56"/>
    <w:rsid w:val="0069054F"/>
    <w:rsid w:val="006912EE"/>
    <w:rsid w:val="0069289F"/>
    <w:rsid w:val="00693EB9"/>
    <w:rsid w:val="006967E0"/>
    <w:rsid w:val="00696EAD"/>
    <w:rsid w:val="00697717"/>
    <w:rsid w:val="00697933"/>
    <w:rsid w:val="006A14E4"/>
    <w:rsid w:val="006A29A3"/>
    <w:rsid w:val="006A2F41"/>
    <w:rsid w:val="006A5A50"/>
    <w:rsid w:val="006A60C9"/>
    <w:rsid w:val="006A6510"/>
    <w:rsid w:val="006A6A38"/>
    <w:rsid w:val="006A7367"/>
    <w:rsid w:val="006A78BB"/>
    <w:rsid w:val="006B104D"/>
    <w:rsid w:val="006B1840"/>
    <w:rsid w:val="006B21DD"/>
    <w:rsid w:val="006B2447"/>
    <w:rsid w:val="006B3191"/>
    <w:rsid w:val="006B481D"/>
    <w:rsid w:val="006B54AD"/>
    <w:rsid w:val="006B6C04"/>
    <w:rsid w:val="006B7578"/>
    <w:rsid w:val="006B773C"/>
    <w:rsid w:val="006C088D"/>
    <w:rsid w:val="006C2978"/>
    <w:rsid w:val="006C2FB6"/>
    <w:rsid w:val="006C3F29"/>
    <w:rsid w:val="006C44D3"/>
    <w:rsid w:val="006C4AF8"/>
    <w:rsid w:val="006C4DA9"/>
    <w:rsid w:val="006C5319"/>
    <w:rsid w:val="006C6AD4"/>
    <w:rsid w:val="006C6CBE"/>
    <w:rsid w:val="006C6EDE"/>
    <w:rsid w:val="006C72D7"/>
    <w:rsid w:val="006D0120"/>
    <w:rsid w:val="006D0B86"/>
    <w:rsid w:val="006D0BE7"/>
    <w:rsid w:val="006D14AC"/>
    <w:rsid w:val="006D18BA"/>
    <w:rsid w:val="006D1E01"/>
    <w:rsid w:val="006D2B47"/>
    <w:rsid w:val="006D2E5B"/>
    <w:rsid w:val="006D36BA"/>
    <w:rsid w:val="006D3882"/>
    <w:rsid w:val="006D58F2"/>
    <w:rsid w:val="006D5962"/>
    <w:rsid w:val="006D5A97"/>
    <w:rsid w:val="006D67DF"/>
    <w:rsid w:val="006D6A0E"/>
    <w:rsid w:val="006D6A77"/>
    <w:rsid w:val="006D78B2"/>
    <w:rsid w:val="006D7E95"/>
    <w:rsid w:val="006E0530"/>
    <w:rsid w:val="006E0720"/>
    <w:rsid w:val="006E0743"/>
    <w:rsid w:val="006E1DAA"/>
    <w:rsid w:val="006E22A3"/>
    <w:rsid w:val="006E2E77"/>
    <w:rsid w:val="006E2F93"/>
    <w:rsid w:val="006E315B"/>
    <w:rsid w:val="006E31BB"/>
    <w:rsid w:val="006E37D0"/>
    <w:rsid w:val="006E5908"/>
    <w:rsid w:val="006E7726"/>
    <w:rsid w:val="006E7C18"/>
    <w:rsid w:val="006F070F"/>
    <w:rsid w:val="006F0C10"/>
    <w:rsid w:val="006F1D16"/>
    <w:rsid w:val="006F1EA2"/>
    <w:rsid w:val="006F1F34"/>
    <w:rsid w:val="006F218A"/>
    <w:rsid w:val="006F2AA7"/>
    <w:rsid w:val="006F3DC6"/>
    <w:rsid w:val="006F3F87"/>
    <w:rsid w:val="006F4D77"/>
    <w:rsid w:val="006F5A36"/>
    <w:rsid w:val="006F5F45"/>
    <w:rsid w:val="006F6E28"/>
    <w:rsid w:val="006F7C7A"/>
    <w:rsid w:val="0070163F"/>
    <w:rsid w:val="00701697"/>
    <w:rsid w:val="007016BC"/>
    <w:rsid w:val="007024F0"/>
    <w:rsid w:val="0070335D"/>
    <w:rsid w:val="00703940"/>
    <w:rsid w:val="0070442B"/>
    <w:rsid w:val="007046DD"/>
    <w:rsid w:val="00704EF3"/>
    <w:rsid w:val="007055C2"/>
    <w:rsid w:val="0070675A"/>
    <w:rsid w:val="0070698C"/>
    <w:rsid w:val="00706BDE"/>
    <w:rsid w:val="007100D6"/>
    <w:rsid w:val="0071070F"/>
    <w:rsid w:val="007112FB"/>
    <w:rsid w:val="007114C4"/>
    <w:rsid w:val="00711F1A"/>
    <w:rsid w:val="00712543"/>
    <w:rsid w:val="00713038"/>
    <w:rsid w:val="0071356F"/>
    <w:rsid w:val="0071438E"/>
    <w:rsid w:val="00714BA9"/>
    <w:rsid w:val="00714D4E"/>
    <w:rsid w:val="007155AA"/>
    <w:rsid w:val="007155F7"/>
    <w:rsid w:val="00715A8F"/>
    <w:rsid w:val="00715DA5"/>
    <w:rsid w:val="00715FCB"/>
    <w:rsid w:val="00716288"/>
    <w:rsid w:val="0071670A"/>
    <w:rsid w:val="00716B3F"/>
    <w:rsid w:val="00720BA1"/>
    <w:rsid w:val="007211FD"/>
    <w:rsid w:val="007223E5"/>
    <w:rsid w:val="00722750"/>
    <w:rsid w:val="00722893"/>
    <w:rsid w:val="00722C92"/>
    <w:rsid w:val="0072421B"/>
    <w:rsid w:val="0072452F"/>
    <w:rsid w:val="00726770"/>
    <w:rsid w:val="00726C73"/>
    <w:rsid w:val="00727F18"/>
    <w:rsid w:val="007304C7"/>
    <w:rsid w:val="007305F4"/>
    <w:rsid w:val="00731755"/>
    <w:rsid w:val="007325E7"/>
    <w:rsid w:val="00732FE8"/>
    <w:rsid w:val="00733F85"/>
    <w:rsid w:val="00734655"/>
    <w:rsid w:val="007346DC"/>
    <w:rsid w:val="0073529C"/>
    <w:rsid w:val="00735651"/>
    <w:rsid w:val="00735A83"/>
    <w:rsid w:val="00735B76"/>
    <w:rsid w:val="007369BC"/>
    <w:rsid w:val="00740A90"/>
    <w:rsid w:val="00740D39"/>
    <w:rsid w:val="0074242B"/>
    <w:rsid w:val="00742AC3"/>
    <w:rsid w:val="00743101"/>
    <w:rsid w:val="0074569D"/>
    <w:rsid w:val="0074668E"/>
    <w:rsid w:val="00747E91"/>
    <w:rsid w:val="00750609"/>
    <w:rsid w:val="0075191A"/>
    <w:rsid w:val="00752265"/>
    <w:rsid w:val="00752730"/>
    <w:rsid w:val="00753226"/>
    <w:rsid w:val="007537E1"/>
    <w:rsid w:val="00755315"/>
    <w:rsid w:val="00755AF0"/>
    <w:rsid w:val="00756269"/>
    <w:rsid w:val="00756593"/>
    <w:rsid w:val="00756BDF"/>
    <w:rsid w:val="007573FD"/>
    <w:rsid w:val="00757D3C"/>
    <w:rsid w:val="00760504"/>
    <w:rsid w:val="00761729"/>
    <w:rsid w:val="00761C0D"/>
    <w:rsid w:val="007628FE"/>
    <w:rsid w:val="00762AE4"/>
    <w:rsid w:val="007631FD"/>
    <w:rsid w:val="00763329"/>
    <w:rsid w:val="00765BFA"/>
    <w:rsid w:val="007667AE"/>
    <w:rsid w:val="00767273"/>
    <w:rsid w:val="0077086E"/>
    <w:rsid w:val="00771E99"/>
    <w:rsid w:val="0077223B"/>
    <w:rsid w:val="00772C72"/>
    <w:rsid w:val="00774700"/>
    <w:rsid w:val="007748EC"/>
    <w:rsid w:val="007775E1"/>
    <w:rsid w:val="007776AC"/>
    <w:rsid w:val="00777A29"/>
    <w:rsid w:val="007804E2"/>
    <w:rsid w:val="007812A4"/>
    <w:rsid w:val="00781584"/>
    <w:rsid w:val="00781B01"/>
    <w:rsid w:val="00781F80"/>
    <w:rsid w:val="007823AF"/>
    <w:rsid w:val="00782C59"/>
    <w:rsid w:val="00783A9D"/>
    <w:rsid w:val="007848A4"/>
    <w:rsid w:val="00784ABD"/>
    <w:rsid w:val="00784B34"/>
    <w:rsid w:val="00785666"/>
    <w:rsid w:val="007867A0"/>
    <w:rsid w:val="007878FF"/>
    <w:rsid w:val="00787F07"/>
    <w:rsid w:val="0079083F"/>
    <w:rsid w:val="0079127D"/>
    <w:rsid w:val="00791FB2"/>
    <w:rsid w:val="007927F5"/>
    <w:rsid w:val="00793226"/>
    <w:rsid w:val="00793F92"/>
    <w:rsid w:val="00795486"/>
    <w:rsid w:val="007A0314"/>
    <w:rsid w:val="007A0B69"/>
    <w:rsid w:val="007A1A46"/>
    <w:rsid w:val="007A1FB4"/>
    <w:rsid w:val="007A2AE5"/>
    <w:rsid w:val="007A2C9C"/>
    <w:rsid w:val="007A47B6"/>
    <w:rsid w:val="007A48A0"/>
    <w:rsid w:val="007A4CC7"/>
    <w:rsid w:val="007A60E3"/>
    <w:rsid w:val="007A6C4D"/>
    <w:rsid w:val="007A740B"/>
    <w:rsid w:val="007B0923"/>
    <w:rsid w:val="007B3C17"/>
    <w:rsid w:val="007B404D"/>
    <w:rsid w:val="007B5E4B"/>
    <w:rsid w:val="007B5EA6"/>
    <w:rsid w:val="007B679D"/>
    <w:rsid w:val="007B693E"/>
    <w:rsid w:val="007B7072"/>
    <w:rsid w:val="007B7951"/>
    <w:rsid w:val="007C03DB"/>
    <w:rsid w:val="007C09BD"/>
    <w:rsid w:val="007C0F69"/>
    <w:rsid w:val="007C2680"/>
    <w:rsid w:val="007C367A"/>
    <w:rsid w:val="007C4813"/>
    <w:rsid w:val="007C565A"/>
    <w:rsid w:val="007C5E9E"/>
    <w:rsid w:val="007C6A4E"/>
    <w:rsid w:val="007C6A71"/>
    <w:rsid w:val="007C6D55"/>
    <w:rsid w:val="007C7543"/>
    <w:rsid w:val="007D04AE"/>
    <w:rsid w:val="007D0C8A"/>
    <w:rsid w:val="007D0CFA"/>
    <w:rsid w:val="007D2101"/>
    <w:rsid w:val="007D30D6"/>
    <w:rsid w:val="007D4150"/>
    <w:rsid w:val="007D4206"/>
    <w:rsid w:val="007D470A"/>
    <w:rsid w:val="007D4980"/>
    <w:rsid w:val="007D4A93"/>
    <w:rsid w:val="007D5D58"/>
    <w:rsid w:val="007D6FEE"/>
    <w:rsid w:val="007D7378"/>
    <w:rsid w:val="007D7F64"/>
    <w:rsid w:val="007E06D4"/>
    <w:rsid w:val="007E0C48"/>
    <w:rsid w:val="007E0EDD"/>
    <w:rsid w:val="007E2D61"/>
    <w:rsid w:val="007E3BD4"/>
    <w:rsid w:val="007E3EBF"/>
    <w:rsid w:val="007E43D7"/>
    <w:rsid w:val="007E46DF"/>
    <w:rsid w:val="007E49D6"/>
    <w:rsid w:val="007E58C0"/>
    <w:rsid w:val="007E7ED3"/>
    <w:rsid w:val="007F176C"/>
    <w:rsid w:val="007F3632"/>
    <w:rsid w:val="007F3BD7"/>
    <w:rsid w:val="007F3C90"/>
    <w:rsid w:val="007F5591"/>
    <w:rsid w:val="007F6504"/>
    <w:rsid w:val="007F6FFD"/>
    <w:rsid w:val="007F7403"/>
    <w:rsid w:val="007F7C2F"/>
    <w:rsid w:val="008009C5"/>
    <w:rsid w:val="00800BA0"/>
    <w:rsid w:val="008015CE"/>
    <w:rsid w:val="008016BC"/>
    <w:rsid w:val="00802CA0"/>
    <w:rsid w:val="00803011"/>
    <w:rsid w:val="00803EFC"/>
    <w:rsid w:val="00804351"/>
    <w:rsid w:val="0080459E"/>
    <w:rsid w:val="0080483A"/>
    <w:rsid w:val="00806476"/>
    <w:rsid w:val="008100AF"/>
    <w:rsid w:val="00810857"/>
    <w:rsid w:val="008132CE"/>
    <w:rsid w:val="008138B9"/>
    <w:rsid w:val="008142C3"/>
    <w:rsid w:val="00815A9E"/>
    <w:rsid w:val="008169B2"/>
    <w:rsid w:val="0081705F"/>
    <w:rsid w:val="00817252"/>
    <w:rsid w:val="00817DBA"/>
    <w:rsid w:val="0082076D"/>
    <w:rsid w:val="00821ADC"/>
    <w:rsid w:val="008220B8"/>
    <w:rsid w:val="008224A1"/>
    <w:rsid w:val="00823485"/>
    <w:rsid w:val="008235BA"/>
    <w:rsid w:val="00823A20"/>
    <w:rsid w:val="00823B8F"/>
    <w:rsid w:val="00825508"/>
    <w:rsid w:val="0082621B"/>
    <w:rsid w:val="0082648E"/>
    <w:rsid w:val="00826605"/>
    <w:rsid w:val="0082666D"/>
    <w:rsid w:val="00826977"/>
    <w:rsid w:val="00826E68"/>
    <w:rsid w:val="00831362"/>
    <w:rsid w:val="00831926"/>
    <w:rsid w:val="00831BF6"/>
    <w:rsid w:val="00832097"/>
    <w:rsid w:val="00832FE4"/>
    <w:rsid w:val="0083522D"/>
    <w:rsid w:val="00835272"/>
    <w:rsid w:val="008353FF"/>
    <w:rsid w:val="0083596E"/>
    <w:rsid w:val="008359FA"/>
    <w:rsid w:val="00835AEA"/>
    <w:rsid w:val="00835B0A"/>
    <w:rsid w:val="00836A8D"/>
    <w:rsid w:val="00836E96"/>
    <w:rsid w:val="008374EA"/>
    <w:rsid w:val="00837849"/>
    <w:rsid w:val="00840175"/>
    <w:rsid w:val="00842685"/>
    <w:rsid w:val="00842F05"/>
    <w:rsid w:val="0084305C"/>
    <w:rsid w:val="0084333C"/>
    <w:rsid w:val="00843E6B"/>
    <w:rsid w:val="008441B2"/>
    <w:rsid w:val="00844405"/>
    <w:rsid w:val="008448F3"/>
    <w:rsid w:val="00845C7B"/>
    <w:rsid w:val="00845E90"/>
    <w:rsid w:val="0084666C"/>
    <w:rsid w:val="0084721F"/>
    <w:rsid w:val="00847444"/>
    <w:rsid w:val="00847A13"/>
    <w:rsid w:val="008508BA"/>
    <w:rsid w:val="00850A84"/>
    <w:rsid w:val="00850EDF"/>
    <w:rsid w:val="00850F69"/>
    <w:rsid w:val="0085115B"/>
    <w:rsid w:val="00851D46"/>
    <w:rsid w:val="00853842"/>
    <w:rsid w:val="008547A8"/>
    <w:rsid w:val="00855FA5"/>
    <w:rsid w:val="00856881"/>
    <w:rsid w:val="00856DF3"/>
    <w:rsid w:val="0085702D"/>
    <w:rsid w:val="00857F55"/>
    <w:rsid w:val="008617DD"/>
    <w:rsid w:val="008618C6"/>
    <w:rsid w:val="008619EA"/>
    <w:rsid w:val="00863173"/>
    <w:rsid w:val="00863396"/>
    <w:rsid w:val="008636F9"/>
    <w:rsid w:val="00864140"/>
    <w:rsid w:val="0086424B"/>
    <w:rsid w:val="008646A7"/>
    <w:rsid w:val="00864C1D"/>
    <w:rsid w:val="00865C18"/>
    <w:rsid w:val="00865ECA"/>
    <w:rsid w:val="0086637E"/>
    <w:rsid w:val="008667F4"/>
    <w:rsid w:val="008668C3"/>
    <w:rsid w:val="0087033B"/>
    <w:rsid w:val="00870816"/>
    <w:rsid w:val="00870996"/>
    <w:rsid w:val="008717B9"/>
    <w:rsid w:val="00871B6C"/>
    <w:rsid w:val="00871D64"/>
    <w:rsid w:val="00872359"/>
    <w:rsid w:val="0087268C"/>
    <w:rsid w:val="0087285F"/>
    <w:rsid w:val="008729BB"/>
    <w:rsid w:val="00873014"/>
    <w:rsid w:val="008733ED"/>
    <w:rsid w:val="008736F9"/>
    <w:rsid w:val="008740AD"/>
    <w:rsid w:val="008747F3"/>
    <w:rsid w:val="00875A42"/>
    <w:rsid w:val="00877322"/>
    <w:rsid w:val="0087785A"/>
    <w:rsid w:val="008778DF"/>
    <w:rsid w:val="00877B87"/>
    <w:rsid w:val="00880376"/>
    <w:rsid w:val="008804D2"/>
    <w:rsid w:val="00880652"/>
    <w:rsid w:val="00880974"/>
    <w:rsid w:val="00880AC7"/>
    <w:rsid w:val="00881F0C"/>
    <w:rsid w:val="00882C05"/>
    <w:rsid w:val="00883071"/>
    <w:rsid w:val="00883577"/>
    <w:rsid w:val="00883DC4"/>
    <w:rsid w:val="00883EC8"/>
    <w:rsid w:val="00884F91"/>
    <w:rsid w:val="00885840"/>
    <w:rsid w:val="00886EE2"/>
    <w:rsid w:val="008871FC"/>
    <w:rsid w:val="00890AD9"/>
    <w:rsid w:val="0089120A"/>
    <w:rsid w:val="0089127C"/>
    <w:rsid w:val="00891C46"/>
    <w:rsid w:val="00891DBC"/>
    <w:rsid w:val="00893329"/>
    <w:rsid w:val="00894B3C"/>
    <w:rsid w:val="00896B63"/>
    <w:rsid w:val="00896D8A"/>
    <w:rsid w:val="00896EAF"/>
    <w:rsid w:val="00897357"/>
    <w:rsid w:val="00897AF9"/>
    <w:rsid w:val="008A0089"/>
    <w:rsid w:val="008A1698"/>
    <w:rsid w:val="008A29AB"/>
    <w:rsid w:val="008A3E8F"/>
    <w:rsid w:val="008A406D"/>
    <w:rsid w:val="008A4BDE"/>
    <w:rsid w:val="008A5A94"/>
    <w:rsid w:val="008A615D"/>
    <w:rsid w:val="008A6A7D"/>
    <w:rsid w:val="008A6E62"/>
    <w:rsid w:val="008A700D"/>
    <w:rsid w:val="008A7479"/>
    <w:rsid w:val="008A777C"/>
    <w:rsid w:val="008A7D15"/>
    <w:rsid w:val="008B1939"/>
    <w:rsid w:val="008B302E"/>
    <w:rsid w:val="008B338F"/>
    <w:rsid w:val="008B453C"/>
    <w:rsid w:val="008B45D1"/>
    <w:rsid w:val="008B4884"/>
    <w:rsid w:val="008B74EC"/>
    <w:rsid w:val="008B7879"/>
    <w:rsid w:val="008B7A6B"/>
    <w:rsid w:val="008B7C03"/>
    <w:rsid w:val="008B7C71"/>
    <w:rsid w:val="008C05B1"/>
    <w:rsid w:val="008C2792"/>
    <w:rsid w:val="008C28D0"/>
    <w:rsid w:val="008C2A44"/>
    <w:rsid w:val="008C3562"/>
    <w:rsid w:val="008C3EBC"/>
    <w:rsid w:val="008C45C3"/>
    <w:rsid w:val="008C48F0"/>
    <w:rsid w:val="008C712F"/>
    <w:rsid w:val="008C7B40"/>
    <w:rsid w:val="008C7E63"/>
    <w:rsid w:val="008D0742"/>
    <w:rsid w:val="008D0756"/>
    <w:rsid w:val="008D08CE"/>
    <w:rsid w:val="008D0A31"/>
    <w:rsid w:val="008D0D37"/>
    <w:rsid w:val="008D1463"/>
    <w:rsid w:val="008D1DFB"/>
    <w:rsid w:val="008D2249"/>
    <w:rsid w:val="008D3C57"/>
    <w:rsid w:val="008D4F8C"/>
    <w:rsid w:val="008D5A5B"/>
    <w:rsid w:val="008D75FE"/>
    <w:rsid w:val="008D7783"/>
    <w:rsid w:val="008E1E95"/>
    <w:rsid w:val="008E243A"/>
    <w:rsid w:val="008E25E1"/>
    <w:rsid w:val="008E3215"/>
    <w:rsid w:val="008E32E9"/>
    <w:rsid w:val="008E3650"/>
    <w:rsid w:val="008E3723"/>
    <w:rsid w:val="008E3F01"/>
    <w:rsid w:val="008E4836"/>
    <w:rsid w:val="008E5148"/>
    <w:rsid w:val="008E57F4"/>
    <w:rsid w:val="008E590C"/>
    <w:rsid w:val="008E6340"/>
    <w:rsid w:val="008E644F"/>
    <w:rsid w:val="008F0100"/>
    <w:rsid w:val="008F0258"/>
    <w:rsid w:val="008F16D3"/>
    <w:rsid w:val="008F1C6E"/>
    <w:rsid w:val="008F1F55"/>
    <w:rsid w:val="008F29CB"/>
    <w:rsid w:val="008F43DA"/>
    <w:rsid w:val="008F5EE9"/>
    <w:rsid w:val="008F6A6F"/>
    <w:rsid w:val="008F7868"/>
    <w:rsid w:val="008F7906"/>
    <w:rsid w:val="00900EB2"/>
    <w:rsid w:val="00902234"/>
    <w:rsid w:val="009026B3"/>
    <w:rsid w:val="009031FD"/>
    <w:rsid w:val="00903D69"/>
    <w:rsid w:val="009040B7"/>
    <w:rsid w:val="00905364"/>
    <w:rsid w:val="009061AD"/>
    <w:rsid w:val="009104C0"/>
    <w:rsid w:val="009112EC"/>
    <w:rsid w:val="00912621"/>
    <w:rsid w:val="00912959"/>
    <w:rsid w:val="00912DA9"/>
    <w:rsid w:val="00915FF4"/>
    <w:rsid w:val="009167A9"/>
    <w:rsid w:val="00917C15"/>
    <w:rsid w:val="009206DF"/>
    <w:rsid w:val="00920B25"/>
    <w:rsid w:val="00921D25"/>
    <w:rsid w:val="00923A02"/>
    <w:rsid w:val="00924661"/>
    <w:rsid w:val="0092473B"/>
    <w:rsid w:val="009260CD"/>
    <w:rsid w:val="0092671C"/>
    <w:rsid w:val="00927146"/>
    <w:rsid w:val="00927813"/>
    <w:rsid w:val="00927C0F"/>
    <w:rsid w:val="009317E2"/>
    <w:rsid w:val="00931EF8"/>
    <w:rsid w:val="009321A7"/>
    <w:rsid w:val="00932287"/>
    <w:rsid w:val="00932639"/>
    <w:rsid w:val="009333E3"/>
    <w:rsid w:val="009338A8"/>
    <w:rsid w:val="00933D7F"/>
    <w:rsid w:val="00933F2E"/>
    <w:rsid w:val="00935BD2"/>
    <w:rsid w:val="00935FD8"/>
    <w:rsid w:val="0093646C"/>
    <w:rsid w:val="0093667A"/>
    <w:rsid w:val="0093768C"/>
    <w:rsid w:val="00940E49"/>
    <w:rsid w:val="00941FEA"/>
    <w:rsid w:val="0094209E"/>
    <w:rsid w:val="00942805"/>
    <w:rsid w:val="009429E5"/>
    <w:rsid w:val="00942C81"/>
    <w:rsid w:val="00943432"/>
    <w:rsid w:val="00943BF7"/>
    <w:rsid w:val="00945005"/>
    <w:rsid w:val="009455CA"/>
    <w:rsid w:val="00946ADD"/>
    <w:rsid w:val="00946D3E"/>
    <w:rsid w:val="009475F7"/>
    <w:rsid w:val="009501F8"/>
    <w:rsid w:val="00950C17"/>
    <w:rsid w:val="00951421"/>
    <w:rsid w:val="0095155E"/>
    <w:rsid w:val="00951817"/>
    <w:rsid w:val="009519CD"/>
    <w:rsid w:val="00952A10"/>
    <w:rsid w:val="00952C25"/>
    <w:rsid w:val="00952E4B"/>
    <w:rsid w:val="0095502D"/>
    <w:rsid w:val="009554BB"/>
    <w:rsid w:val="009557E5"/>
    <w:rsid w:val="009558BA"/>
    <w:rsid w:val="00955EDD"/>
    <w:rsid w:val="0095700F"/>
    <w:rsid w:val="00957C7F"/>
    <w:rsid w:val="009600E1"/>
    <w:rsid w:val="009621FC"/>
    <w:rsid w:val="0096245E"/>
    <w:rsid w:val="00962B8F"/>
    <w:rsid w:val="00963A3F"/>
    <w:rsid w:val="00963F50"/>
    <w:rsid w:val="00963FD4"/>
    <w:rsid w:val="0096478D"/>
    <w:rsid w:val="009647EB"/>
    <w:rsid w:val="00964B1B"/>
    <w:rsid w:val="00965BB3"/>
    <w:rsid w:val="00965DFF"/>
    <w:rsid w:val="00966159"/>
    <w:rsid w:val="0096697D"/>
    <w:rsid w:val="0096721B"/>
    <w:rsid w:val="00967F87"/>
    <w:rsid w:val="00970E50"/>
    <w:rsid w:val="0097116F"/>
    <w:rsid w:val="00971C3A"/>
    <w:rsid w:val="00971F6C"/>
    <w:rsid w:val="009721EB"/>
    <w:rsid w:val="00972B1E"/>
    <w:rsid w:val="00973344"/>
    <w:rsid w:val="00973421"/>
    <w:rsid w:val="009736FD"/>
    <w:rsid w:val="00973B41"/>
    <w:rsid w:val="009741E4"/>
    <w:rsid w:val="00974634"/>
    <w:rsid w:val="00974B8E"/>
    <w:rsid w:val="009756E2"/>
    <w:rsid w:val="009775BC"/>
    <w:rsid w:val="00980BD2"/>
    <w:rsid w:val="0098274D"/>
    <w:rsid w:val="00982982"/>
    <w:rsid w:val="00982CF8"/>
    <w:rsid w:val="00982D91"/>
    <w:rsid w:val="00986886"/>
    <w:rsid w:val="009879D6"/>
    <w:rsid w:val="00987B59"/>
    <w:rsid w:val="00990A07"/>
    <w:rsid w:val="00992358"/>
    <w:rsid w:val="00992C59"/>
    <w:rsid w:val="00995381"/>
    <w:rsid w:val="00996225"/>
    <w:rsid w:val="009962B3"/>
    <w:rsid w:val="009966A4"/>
    <w:rsid w:val="00996F35"/>
    <w:rsid w:val="0099798A"/>
    <w:rsid w:val="00997E7E"/>
    <w:rsid w:val="009A035F"/>
    <w:rsid w:val="009A04FC"/>
    <w:rsid w:val="009A0616"/>
    <w:rsid w:val="009A09AC"/>
    <w:rsid w:val="009A1772"/>
    <w:rsid w:val="009A26E2"/>
    <w:rsid w:val="009A4294"/>
    <w:rsid w:val="009A7064"/>
    <w:rsid w:val="009A768A"/>
    <w:rsid w:val="009A78F8"/>
    <w:rsid w:val="009B0057"/>
    <w:rsid w:val="009B0A98"/>
    <w:rsid w:val="009B1222"/>
    <w:rsid w:val="009B14EA"/>
    <w:rsid w:val="009B1CF3"/>
    <w:rsid w:val="009B26BB"/>
    <w:rsid w:val="009B3B92"/>
    <w:rsid w:val="009B410F"/>
    <w:rsid w:val="009B4794"/>
    <w:rsid w:val="009B527D"/>
    <w:rsid w:val="009B613F"/>
    <w:rsid w:val="009B61F2"/>
    <w:rsid w:val="009B7D96"/>
    <w:rsid w:val="009C006A"/>
    <w:rsid w:val="009C0AA6"/>
    <w:rsid w:val="009C0E39"/>
    <w:rsid w:val="009C0F71"/>
    <w:rsid w:val="009C1130"/>
    <w:rsid w:val="009C1753"/>
    <w:rsid w:val="009C2062"/>
    <w:rsid w:val="009C22B6"/>
    <w:rsid w:val="009C2FB9"/>
    <w:rsid w:val="009C332A"/>
    <w:rsid w:val="009C33E9"/>
    <w:rsid w:val="009C35C1"/>
    <w:rsid w:val="009C4B3C"/>
    <w:rsid w:val="009C50F1"/>
    <w:rsid w:val="009C6833"/>
    <w:rsid w:val="009C7280"/>
    <w:rsid w:val="009D04F8"/>
    <w:rsid w:val="009D0623"/>
    <w:rsid w:val="009D0F23"/>
    <w:rsid w:val="009D163D"/>
    <w:rsid w:val="009D1670"/>
    <w:rsid w:val="009D2C3F"/>
    <w:rsid w:val="009D3E8B"/>
    <w:rsid w:val="009D4472"/>
    <w:rsid w:val="009D61BD"/>
    <w:rsid w:val="009D73E5"/>
    <w:rsid w:val="009D747F"/>
    <w:rsid w:val="009D75DB"/>
    <w:rsid w:val="009E1F32"/>
    <w:rsid w:val="009E281F"/>
    <w:rsid w:val="009E391C"/>
    <w:rsid w:val="009E4CB3"/>
    <w:rsid w:val="009E4D75"/>
    <w:rsid w:val="009E4DDE"/>
    <w:rsid w:val="009E605F"/>
    <w:rsid w:val="009E6A70"/>
    <w:rsid w:val="009F0420"/>
    <w:rsid w:val="009F0437"/>
    <w:rsid w:val="009F082E"/>
    <w:rsid w:val="009F0DBC"/>
    <w:rsid w:val="009F15AE"/>
    <w:rsid w:val="009F1877"/>
    <w:rsid w:val="009F18D8"/>
    <w:rsid w:val="009F199D"/>
    <w:rsid w:val="009F20D1"/>
    <w:rsid w:val="009F231D"/>
    <w:rsid w:val="009F313B"/>
    <w:rsid w:val="009F4F99"/>
    <w:rsid w:val="009F742E"/>
    <w:rsid w:val="00A00174"/>
    <w:rsid w:val="00A00C70"/>
    <w:rsid w:val="00A013E1"/>
    <w:rsid w:val="00A01630"/>
    <w:rsid w:val="00A01A7B"/>
    <w:rsid w:val="00A01AB6"/>
    <w:rsid w:val="00A01ABF"/>
    <w:rsid w:val="00A0256F"/>
    <w:rsid w:val="00A03563"/>
    <w:rsid w:val="00A03C2C"/>
    <w:rsid w:val="00A04E1A"/>
    <w:rsid w:val="00A05946"/>
    <w:rsid w:val="00A0647F"/>
    <w:rsid w:val="00A066BE"/>
    <w:rsid w:val="00A06DF7"/>
    <w:rsid w:val="00A07938"/>
    <w:rsid w:val="00A11DA9"/>
    <w:rsid w:val="00A12011"/>
    <w:rsid w:val="00A140E9"/>
    <w:rsid w:val="00A15159"/>
    <w:rsid w:val="00A15637"/>
    <w:rsid w:val="00A1590E"/>
    <w:rsid w:val="00A15A88"/>
    <w:rsid w:val="00A15FAD"/>
    <w:rsid w:val="00A172A8"/>
    <w:rsid w:val="00A20398"/>
    <w:rsid w:val="00A20941"/>
    <w:rsid w:val="00A2118D"/>
    <w:rsid w:val="00A211C4"/>
    <w:rsid w:val="00A22902"/>
    <w:rsid w:val="00A22AD2"/>
    <w:rsid w:val="00A243F9"/>
    <w:rsid w:val="00A24402"/>
    <w:rsid w:val="00A24831"/>
    <w:rsid w:val="00A24ADA"/>
    <w:rsid w:val="00A26199"/>
    <w:rsid w:val="00A272D2"/>
    <w:rsid w:val="00A30652"/>
    <w:rsid w:val="00A30D0B"/>
    <w:rsid w:val="00A311E8"/>
    <w:rsid w:val="00A32F03"/>
    <w:rsid w:val="00A3353A"/>
    <w:rsid w:val="00A335E4"/>
    <w:rsid w:val="00A34607"/>
    <w:rsid w:val="00A360A8"/>
    <w:rsid w:val="00A3657D"/>
    <w:rsid w:val="00A36BF4"/>
    <w:rsid w:val="00A3730E"/>
    <w:rsid w:val="00A37E62"/>
    <w:rsid w:val="00A4049F"/>
    <w:rsid w:val="00A42026"/>
    <w:rsid w:val="00A42095"/>
    <w:rsid w:val="00A42850"/>
    <w:rsid w:val="00A42CBA"/>
    <w:rsid w:val="00A450F4"/>
    <w:rsid w:val="00A4575E"/>
    <w:rsid w:val="00A45D72"/>
    <w:rsid w:val="00A45E89"/>
    <w:rsid w:val="00A468D1"/>
    <w:rsid w:val="00A46C6C"/>
    <w:rsid w:val="00A46E3C"/>
    <w:rsid w:val="00A50C72"/>
    <w:rsid w:val="00A53934"/>
    <w:rsid w:val="00A53BCF"/>
    <w:rsid w:val="00A5417F"/>
    <w:rsid w:val="00A548B2"/>
    <w:rsid w:val="00A5490A"/>
    <w:rsid w:val="00A549BD"/>
    <w:rsid w:val="00A5529B"/>
    <w:rsid w:val="00A553C5"/>
    <w:rsid w:val="00A5634C"/>
    <w:rsid w:val="00A563F0"/>
    <w:rsid w:val="00A5657B"/>
    <w:rsid w:val="00A56735"/>
    <w:rsid w:val="00A577E9"/>
    <w:rsid w:val="00A57BF6"/>
    <w:rsid w:val="00A57ED9"/>
    <w:rsid w:val="00A60F26"/>
    <w:rsid w:val="00A61675"/>
    <w:rsid w:val="00A62097"/>
    <w:rsid w:val="00A63F1B"/>
    <w:rsid w:val="00A6586E"/>
    <w:rsid w:val="00A65EE6"/>
    <w:rsid w:val="00A6746D"/>
    <w:rsid w:val="00A678AA"/>
    <w:rsid w:val="00A70166"/>
    <w:rsid w:val="00A70F02"/>
    <w:rsid w:val="00A734E8"/>
    <w:rsid w:val="00A73D17"/>
    <w:rsid w:val="00A73F8E"/>
    <w:rsid w:val="00A75E1F"/>
    <w:rsid w:val="00A76364"/>
    <w:rsid w:val="00A77101"/>
    <w:rsid w:val="00A800A3"/>
    <w:rsid w:val="00A8081E"/>
    <w:rsid w:val="00A8149E"/>
    <w:rsid w:val="00A814AD"/>
    <w:rsid w:val="00A815DA"/>
    <w:rsid w:val="00A818F0"/>
    <w:rsid w:val="00A82046"/>
    <w:rsid w:val="00A82757"/>
    <w:rsid w:val="00A829A7"/>
    <w:rsid w:val="00A834FA"/>
    <w:rsid w:val="00A836D4"/>
    <w:rsid w:val="00A83A8D"/>
    <w:rsid w:val="00A84E6B"/>
    <w:rsid w:val="00A852F6"/>
    <w:rsid w:val="00A85848"/>
    <w:rsid w:val="00A8622D"/>
    <w:rsid w:val="00A86787"/>
    <w:rsid w:val="00A86809"/>
    <w:rsid w:val="00A869C9"/>
    <w:rsid w:val="00A873BE"/>
    <w:rsid w:val="00A9258A"/>
    <w:rsid w:val="00A93582"/>
    <w:rsid w:val="00A94AE6"/>
    <w:rsid w:val="00A95263"/>
    <w:rsid w:val="00A95A46"/>
    <w:rsid w:val="00A965F8"/>
    <w:rsid w:val="00A96C13"/>
    <w:rsid w:val="00A974F9"/>
    <w:rsid w:val="00A9777B"/>
    <w:rsid w:val="00AA1041"/>
    <w:rsid w:val="00AA11E8"/>
    <w:rsid w:val="00AA171E"/>
    <w:rsid w:val="00AA1A39"/>
    <w:rsid w:val="00AA3070"/>
    <w:rsid w:val="00AA347E"/>
    <w:rsid w:val="00AA5A91"/>
    <w:rsid w:val="00AA63F9"/>
    <w:rsid w:val="00AA6B45"/>
    <w:rsid w:val="00AA6DF9"/>
    <w:rsid w:val="00AA7DD7"/>
    <w:rsid w:val="00AB00ED"/>
    <w:rsid w:val="00AB0235"/>
    <w:rsid w:val="00AB3582"/>
    <w:rsid w:val="00AB3C71"/>
    <w:rsid w:val="00AB439D"/>
    <w:rsid w:val="00AB5E4D"/>
    <w:rsid w:val="00AB6186"/>
    <w:rsid w:val="00AB6A7E"/>
    <w:rsid w:val="00AB6F3A"/>
    <w:rsid w:val="00AB7091"/>
    <w:rsid w:val="00AB77B9"/>
    <w:rsid w:val="00AB79DE"/>
    <w:rsid w:val="00AC01B1"/>
    <w:rsid w:val="00AC0C45"/>
    <w:rsid w:val="00AC145D"/>
    <w:rsid w:val="00AC19D0"/>
    <w:rsid w:val="00AC20A8"/>
    <w:rsid w:val="00AC26E9"/>
    <w:rsid w:val="00AC2A86"/>
    <w:rsid w:val="00AC2EE0"/>
    <w:rsid w:val="00AC3942"/>
    <w:rsid w:val="00AC3A54"/>
    <w:rsid w:val="00AC4922"/>
    <w:rsid w:val="00AC4D67"/>
    <w:rsid w:val="00AC5584"/>
    <w:rsid w:val="00AC5BE7"/>
    <w:rsid w:val="00AC5E2C"/>
    <w:rsid w:val="00AC7055"/>
    <w:rsid w:val="00AD0D61"/>
    <w:rsid w:val="00AD168E"/>
    <w:rsid w:val="00AD1A4F"/>
    <w:rsid w:val="00AD22F5"/>
    <w:rsid w:val="00AD39D0"/>
    <w:rsid w:val="00AD4762"/>
    <w:rsid w:val="00AD4EBD"/>
    <w:rsid w:val="00AD4EDC"/>
    <w:rsid w:val="00AD59B5"/>
    <w:rsid w:val="00AD5A9D"/>
    <w:rsid w:val="00AD5CCD"/>
    <w:rsid w:val="00AD6066"/>
    <w:rsid w:val="00AD648C"/>
    <w:rsid w:val="00AD6D30"/>
    <w:rsid w:val="00AD76E2"/>
    <w:rsid w:val="00AE06D7"/>
    <w:rsid w:val="00AE0EAE"/>
    <w:rsid w:val="00AE1E15"/>
    <w:rsid w:val="00AE2252"/>
    <w:rsid w:val="00AE25E7"/>
    <w:rsid w:val="00AE2893"/>
    <w:rsid w:val="00AE46E4"/>
    <w:rsid w:val="00AE4B8C"/>
    <w:rsid w:val="00AE4FE3"/>
    <w:rsid w:val="00AE590F"/>
    <w:rsid w:val="00AE61AB"/>
    <w:rsid w:val="00AE66D2"/>
    <w:rsid w:val="00AE7DDA"/>
    <w:rsid w:val="00AE7E7B"/>
    <w:rsid w:val="00AF06D1"/>
    <w:rsid w:val="00AF1056"/>
    <w:rsid w:val="00AF2951"/>
    <w:rsid w:val="00AF2991"/>
    <w:rsid w:val="00AF65B3"/>
    <w:rsid w:val="00AF7216"/>
    <w:rsid w:val="00AF77FC"/>
    <w:rsid w:val="00B0107B"/>
    <w:rsid w:val="00B01539"/>
    <w:rsid w:val="00B01731"/>
    <w:rsid w:val="00B01B74"/>
    <w:rsid w:val="00B025A9"/>
    <w:rsid w:val="00B0376D"/>
    <w:rsid w:val="00B048F2"/>
    <w:rsid w:val="00B057AD"/>
    <w:rsid w:val="00B06337"/>
    <w:rsid w:val="00B066D2"/>
    <w:rsid w:val="00B06F31"/>
    <w:rsid w:val="00B06F45"/>
    <w:rsid w:val="00B075A1"/>
    <w:rsid w:val="00B11185"/>
    <w:rsid w:val="00B11FBD"/>
    <w:rsid w:val="00B1243A"/>
    <w:rsid w:val="00B133FA"/>
    <w:rsid w:val="00B1384F"/>
    <w:rsid w:val="00B139C4"/>
    <w:rsid w:val="00B1460A"/>
    <w:rsid w:val="00B150EB"/>
    <w:rsid w:val="00B165B7"/>
    <w:rsid w:val="00B20152"/>
    <w:rsid w:val="00B2056D"/>
    <w:rsid w:val="00B214E1"/>
    <w:rsid w:val="00B218C0"/>
    <w:rsid w:val="00B2276D"/>
    <w:rsid w:val="00B22A9B"/>
    <w:rsid w:val="00B22E6B"/>
    <w:rsid w:val="00B23879"/>
    <w:rsid w:val="00B247B0"/>
    <w:rsid w:val="00B24DA6"/>
    <w:rsid w:val="00B254BE"/>
    <w:rsid w:val="00B26CDC"/>
    <w:rsid w:val="00B2791B"/>
    <w:rsid w:val="00B3117D"/>
    <w:rsid w:val="00B312CF"/>
    <w:rsid w:val="00B31BA0"/>
    <w:rsid w:val="00B326B2"/>
    <w:rsid w:val="00B34273"/>
    <w:rsid w:val="00B359E4"/>
    <w:rsid w:val="00B369D8"/>
    <w:rsid w:val="00B3725D"/>
    <w:rsid w:val="00B37DFC"/>
    <w:rsid w:val="00B37F8E"/>
    <w:rsid w:val="00B40B1B"/>
    <w:rsid w:val="00B40E0B"/>
    <w:rsid w:val="00B413BA"/>
    <w:rsid w:val="00B42562"/>
    <w:rsid w:val="00B427B4"/>
    <w:rsid w:val="00B428AB"/>
    <w:rsid w:val="00B4385B"/>
    <w:rsid w:val="00B43D68"/>
    <w:rsid w:val="00B44139"/>
    <w:rsid w:val="00B455FE"/>
    <w:rsid w:val="00B45A8E"/>
    <w:rsid w:val="00B45D76"/>
    <w:rsid w:val="00B5011B"/>
    <w:rsid w:val="00B50933"/>
    <w:rsid w:val="00B51693"/>
    <w:rsid w:val="00B51D8F"/>
    <w:rsid w:val="00B527A9"/>
    <w:rsid w:val="00B52A04"/>
    <w:rsid w:val="00B52AED"/>
    <w:rsid w:val="00B535AF"/>
    <w:rsid w:val="00B5368D"/>
    <w:rsid w:val="00B53AA4"/>
    <w:rsid w:val="00B54456"/>
    <w:rsid w:val="00B5453E"/>
    <w:rsid w:val="00B54D78"/>
    <w:rsid w:val="00B5547E"/>
    <w:rsid w:val="00B554D3"/>
    <w:rsid w:val="00B57D98"/>
    <w:rsid w:val="00B57FE9"/>
    <w:rsid w:val="00B6028B"/>
    <w:rsid w:val="00B604CC"/>
    <w:rsid w:val="00B6064B"/>
    <w:rsid w:val="00B60C14"/>
    <w:rsid w:val="00B60E04"/>
    <w:rsid w:val="00B63CC9"/>
    <w:rsid w:val="00B64283"/>
    <w:rsid w:val="00B65677"/>
    <w:rsid w:val="00B65F96"/>
    <w:rsid w:val="00B70850"/>
    <w:rsid w:val="00B730A9"/>
    <w:rsid w:val="00B739B8"/>
    <w:rsid w:val="00B73A36"/>
    <w:rsid w:val="00B73B09"/>
    <w:rsid w:val="00B7484C"/>
    <w:rsid w:val="00B75782"/>
    <w:rsid w:val="00B75E7E"/>
    <w:rsid w:val="00B77051"/>
    <w:rsid w:val="00B7707C"/>
    <w:rsid w:val="00B77EE3"/>
    <w:rsid w:val="00B80401"/>
    <w:rsid w:val="00B808F1"/>
    <w:rsid w:val="00B81AAF"/>
    <w:rsid w:val="00B81FA6"/>
    <w:rsid w:val="00B82772"/>
    <w:rsid w:val="00B82972"/>
    <w:rsid w:val="00B82AD4"/>
    <w:rsid w:val="00B8357D"/>
    <w:rsid w:val="00B8366A"/>
    <w:rsid w:val="00B8439B"/>
    <w:rsid w:val="00B85BD5"/>
    <w:rsid w:val="00B86CBB"/>
    <w:rsid w:val="00B875FB"/>
    <w:rsid w:val="00B9055E"/>
    <w:rsid w:val="00B911FB"/>
    <w:rsid w:val="00B91BFF"/>
    <w:rsid w:val="00B91EFB"/>
    <w:rsid w:val="00B9220A"/>
    <w:rsid w:val="00B9243F"/>
    <w:rsid w:val="00B930F0"/>
    <w:rsid w:val="00B932CC"/>
    <w:rsid w:val="00B937FA"/>
    <w:rsid w:val="00B94B99"/>
    <w:rsid w:val="00B95142"/>
    <w:rsid w:val="00B95529"/>
    <w:rsid w:val="00B95D39"/>
    <w:rsid w:val="00B96099"/>
    <w:rsid w:val="00B97E6C"/>
    <w:rsid w:val="00BA01BD"/>
    <w:rsid w:val="00BA01D8"/>
    <w:rsid w:val="00BA104B"/>
    <w:rsid w:val="00BA1AF4"/>
    <w:rsid w:val="00BA26B9"/>
    <w:rsid w:val="00BA289E"/>
    <w:rsid w:val="00BA3722"/>
    <w:rsid w:val="00BA372F"/>
    <w:rsid w:val="00BA3895"/>
    <w:rsid w:val="00BA4746"/>
    <w:rsid w:val="00BA4A76"/>
    <w:rsid w:val="00BA4A8F"/>
    <w:rsid w:val="00BA5136"/>
    <w:rsid w:val="00BA5682"/>
    <w:rsid w:val="00BA5685"/>
    <w:rsid w:val="00BA5F4C"/>
    <w:rsid w:val="00BA6D86"/>
    <w:rsid w:val="00BB0101"/>
    <w:rsid w:val="00BB0D59"/>
    <w:rsid w:val="00BB168C"/>
    <w:rsid w:val="00BB23FF"/>
    <w:rsid w:val="00BB5403"/>
    <w:rsid w:val="00BB57BB"/>
    <w:rsid w:val="00BB6AB8"/>
    <w:rsid w:val="00BB72E1"/>
    <w:rsid w:val="00BB7326"/>
    <w:rsid w:val="00BB737C"/>
    <w:rsid w:val="00BC06DA"/>
    <w:rsid w:val="00BC128A"/>
    <w:rsid w:val="00BC1F4C"/>
    <w:rsid w:val="00BC2136"/>
    <w:rsid w:val="00BC2AE1"/>
    <w:rsid w:val="00BC39DA"/>
    <w:rsid w:val="00BC4075"/>
    <w:rsid w:val="00BC4C86"/>
    <w:rsid w:val="00BC5107"/>
    <w:rsid w:val="00BC6421"/>
    <w:rsid w:val="00BC7D02"/>
    <w:rsid w:val="00BC7D4C"/>
    <w:rsid w:val="00BC7E55"/>
    <w:rsid w:val="00BC7F8D"/>
    <w:rsid w:val="00BD02E6"/>
    <w:rsid w:val="00BD03BE"/>
    <w:rsid w:val="00BD15ED"/>
    <w:rsid w:val="00BD1973"/>
    <w:rsid w:val="00BD1BD6"/>
    <w:rsid w:val="00BD479B"/>
    <w:rsid w:val="00BD5410"/>
    <w:rsid w:val="00BD579C"/>
    <w:rsid w:val="00BD6883"/>
    <w:rsid w:val="00BD6DAD"/>
    <w:rsid w:val="00BD72E9"/>
    <w:rsid w:val="00BD7FBE"/>
    <w:rsid w:val="00BE22F9"/>
    <w:rsid w:val="00BE275D"/>
    <w:rsid w:val="00BE27D9"/>
    <w:rsid w:val="00BE2AF3"/>
    <w:rsid w:val="00BE413A"/>
    <w:rsid w:val="00BE4D62"/>
    <w:rsid w:val="00BE6A32"/>
    <w:rsid w:val="00BE6E10"/>
    <w:rsid w:val="00BE7000"/>
    <w:rsid w:val="00BE7657"/>
    <w:rsid w:val="00BF0914"/>
    <w:rsid w:val="00BF0C4C"/>
    <w:rsid w:val="00BF13ED"/>
    <w:rsid w:val="00BF1B40"/>
    <w:rsid w:val="00BF1C83"/>
    <w:rsid w:val="00BF3032"/>
    <w:rsid w:val="00BF357E"/>
    <w:rsid w:val="00BF40D8"/>
    <w:rsid w:val="00BF425C"/>
    <w:rsid w:val="00BF50E9"/>
    <w:rsid w:val="00BF549A"/>
    <w:rsid w:val="00BF7656"/>
    <w:rsid w:val="00BF7A5D"/>
    <w:rsid w:val="00C01C84"/>
    <w:rsid w:val="00C01FE7"/>
    <w:rsid w:val="00C023FB"/>
    <w:rsid w:val="00C02A24"/>
    <w:rsid w:val="00C02ED5"/>
    <w:rsid w:val="00C03BD0"/>
    <w:rsid w:val="00C0460A"/>
    <w:rsid w:val="00C04AB8"/>
    <w:rsid w:val="00C04D28"/>
    <w:rsid w:val="00C05BDD"/>
    <w:rsid w:val="00C06181"/>
    <w:rsid w:val="00C065C4"/>
    <w:rsid w:val="00C0665D"/>
    <w:rsid w:val="00C066B6"/>
    <w:rsid w:val="00C067F5"/>
    <w:rsid w:val="00C06DB5"/>
    <w:rsid w:val="00C073CB"/>
    <w:rsid w:val="00C10CFF"/>
    <w:rsid w:val="00C11BD5"/>
    <w:rsid w:val="00C11C8E"/>
    <w:rsid w:val="00C12A5B"/>
    <w:rsid w:val="00C133FD"/>
    <w:rsid w:val="00C13F43"/>
    <w:rsid w:val="00C141FC"/>
    <w:rsid w:val="00C14D0F"/>
    <w:rsid w:val="00C15299"/>
    <w:rsid w:val="00C15919"/>
    <w:rsid w:val="00C15AA7"/>
    <w:rsid w:val="00C1630B"/>
    <w:rsid w:val="00C1662C"/>
    <w:rsid w:val="00C167E2"/>
    <w:rsid w:val="00C211F9"/>
    <w:rsid w:val="00C21448"/>
    <w:rsid w:val="00C218A5"/>
    <w:rsid w:val="00C23CA9"/>
    <w:rsid w:val="00C23FC4"/>
    <w:rsid w:val="00C24037"/>
    <w:rsid w:val="00C24A69"/>
    <w:rsid w:val="00C24C4C"/>
    <w:rsid w:val="00C24F32"/>
    <w:rsid w:val="00C26255"/>
    <w:rsid w:val="00C2663D"/>
    <w:rsid w:val="00C27A4D"/>
    <w:rsid w:val="00C27D43"/>
    <w:rsid w:val="00C31556"/>
    <w:rsid w:val="00C315D5"/>
    <w:rsid w:val="00C32EDE"/>
    <w:rsid w:val="00C338A0"/>
    <w:rsid w:val="00C347FE"/>
    <w:rsid w:val="00C34B5E"/>
    <w:rsid w:val="00C37932"/>
    <w:rsid w:val="00C37BA1"/>
    <w:rsid w:val="00C418B7"/>
    <w:rsid w:val="00C42205"/>
    <w:rsid w:val="00C42307"/>
    <w:rsid w:val="00C427D3"/>
    <w:rsid w:val="00C433DA"/>
    <w:rsid w:val="00C433F3"/>
    <w:rsid w:val="00C44060"/>
    <w:rsid w:val="00C44FFD"/>
    <w:rsid w:val="00C45557"/>
    <w:rsid w:val="00C4667E"/>
    <w:rsid w:val="00C4674C"/>
    <w:rsid w:val="00C46961"/>
    <w:rsid w:val="00C506CF"/>
    <w:rsid w:val="00C50AC2"/>
    <w:rsid w:val="00C51973"/>
    <w:rsid w:val="00C5221D"/>
    <w:rsid w:val="00C5282B"/>
    <w:rsid w:val="00C5316B"/>
    <w:rsid w:val="00C539D6"/>
    <w:rsid w:val="00C539E1"/>
    <w:rsid w:val="00C53F36"/>
    <w:rsid w:val="00C543CD"/>
    <w:rsid w:val="00C54F76"/>
    <w:rsid w:val="00C56483"/>
    <w:rsid w:val="00C566CF"/>
    <w:rsid w:val="00C57009"/>
    <w:rsid w:val="00C57E6B"/>
    <w:rsid w:val="00C607A9"/>
    <w:rsid w:val="00C60AC5"/>
    <w:rsid w:val="00C60F64"/>
    <w:rsid w:val="00C6308F"/>
    <w:rsid w:val="00C63463"/>
    <w:rsid w:val="00C64793"/>
    <w:rsid w:val="00C64A99"/>
    <w:rsid w:val="00C66239"/>
    <w:rsid w:val="00C662E3"/>
    <w:rsid w:val="00C663F9"/>
    <w:rsid w:val="00C66A47"/>
    <w:rsid w:val="00C707A3"/>
    <w:rsid w:val="00C7152C"/>
    <w:rsid w:val="00C71B08"/>
    <w:rsid w:val="00C72316"/>
    <w:rsid w:val="00C7234C"/>
    <w:rsid w:val="00C72BED"/>
    <w:rsid w:val="00C72C32"/>
    <w:rsid w:val="00C73083"/>
    <w:rsid w:val="00C732C1"/>
    <w:rsid w:val="00C739A9"/>
    <w:rsid w:val="00C73F50"/>
    <w:rsid w:val="00C740E5"/>
    <w:rsid w:val="00C75124"/>
    <w:rsid w:val="00C7799D"/>
    <w:rsid w:val="00C77A71"/>
    <w:rsid w:val="00C808B6"/>
    <w:rsid w:val="00C80B19"/>
    <w:rsid w:val="00C82087"/>
    <w:rsid w:val="00C82583"/>
    <w:rsid w:val="00C8271C"/>
    <w:rsid w:val="00C83393"/>
    <w:rsid w:val="00C83951"/>
    <w:rsid w:val="00C8563E"/>
    <w:rsid w:val="00C85812"/>
    <w:rsid w:val="00C86095"/>
    <w:rsid w:val="00C860AC"/>
    <w:rsid w:val="00C864F7"/>
    <w:rsid w:val="00C86720"/>
    <w:rsid w:val="00C86A7C"/>
    <w:rsid w:val="00C872B7"/>
    <w:rsid w:val="00C900A9"/>
    <w:rsid w:val="00C9026F"/>
    <w:rsid w:val="00C9072C"/>
    <w:rsid w:val="00C90C01"/>
    <w:rsid w:val="00C9278D"/>
    <w:rsid w:val="00C928F7"/>
    <w:rsid w:val="00C92B39"/>
    <w:rsid w:val="00C946D1"/>
    <w:rsid w:val="00C95064"/>
    <w:rsid w:val="00C9578B"/>
    <w:rsid w:val="00C95E83"/>
    <w:rsid w:val="00C96408"/>
    <w:rsid w:val="00C969E4"/>
    <w:rsid w:val="00C96B50"/>
    <w:rsid w:val="00C97697"/>
    <w:rsid w:val="00C97A3D"/>
    <w:rsid w:val="00C97B46"/>
    <w:rsid w:val="00C97C92"/>
    <w:rsid w:val="00C97EE0"/>
    <w:rsid w:val="00CA082E"/>
    <w:rsid w:val="00CA0D83"/>
    <w:rsid w:val="00CA0E2F"/>
    <w:rsid w:val="00CA1047"/>
    <w:rsid w:val="00CA1560"/>
    <w:rsid w:val="00CA1CFA"/>
    <w:rsid w:val="00CA58EF"/>
    <w:rsid w:val="00CA59F1"/>
    <w:rsid w:val="00CA6933"/>
    <w:rsid w:val="00CA715C"/>
    <w:rsid w:val="00CA7EE4"/>
    <w:rsid w:val="00CA7F03"/>
    <w:rsid w:val="00CB0055"/>
    <w:rsid w:val="00CB0E16"/>
    <w:rsid w:val="00CB14D9"/>
    <w:rsid w:val="00CB202E"/>
    <w:rsid w:val="00CB2F4D"/>
    <w:rsid w:val="00CB31A7"/>
    <w:rsid w:val="00CB3863"/>
    <w:rsid w:val="00CB56B5"/>
    <w:rsid w:val="00CB5D32"/>
    <w:rsid w:val="00CB6D93"/>
    <w:rsid w:val="00CB6FCB"/>
    <w:rsid w:val="00CB71A2"/>
    <w:rsid w:val="00CB797B"/>
    <w:rsid w:val="00CC0144"/>
    <w:rsid w:val="00CC02D7"/>
    <w:rsid w:val="00CC08E5"/>
    <w:rsid w:val="00CC0C6D"/>
    <w:rsid w:val="00CC1331"/>
    <w:rsid w:val="00CC1802"/>
    <w:rsid w:val="00CC2847"/>
    <w:rsid w:val="00CC3E18"/>
    <w:rsid w:val="00CC466E"/>
    <w:rsid w:val="00CC4937"/>
    <w:rsid w:val="00CC5B10"/>
    <w:rsid w:val="00CC5E48"/>
    <w:rsid w:val="00CC72CC"/>
    <w:rsid w:val="00CC7352"/>
    <w:rsid w:val="00CC74DA"/>
    <w:rsid w:val="00CC75AD"/>
    <w:rsid w:val="00CC7B59"/>
    <w:rsid w:val="00CC7CDE"/>
    <w:rsid w:val="00CD0AF3"/>
    <w:rsid w:val="00CD157D"/>
    <w:rsid w:val="00CD216A"/>
    <w:rsid w:val="00CD3057"/>
    <w:rsid w:val="00CD54A5"/>
    <w:rsid w:val="00CD56EF"/>
    <w:rsid w:val="00CE0866"/>
    <w:rsid w:val="00CE1D67"/>
    <w:rsid w:val="00CE41B6"/>
    <w:rsid w:val="00CE4C62"/>
    <w:rsid w:val="00CE4E49"/>
    <w:rsid w:val="00CE5D9C"/>
    <w:rsid w:val="00CE5EFB"/>
    <w:rsid w:val="00CE68B4"/>
    <w:rsid w:val="00CE6EA1"/>
    <w:rsid w:val="00CE7CEE"/>
    <w:rsid w:val="00CF0E13"/>
    <w:rsid w:val="00CF1243"/>
    <w:rsid w:val="00CF1CD0"/>
    <w:rsid w:val="00CF23F2"/>
    <w:rsid w:val="00CF2DB2"/>
    <w:rsid w:val="00CF4134"/>
    <w:rsid w:val="00CF416A"/>
    <w:rsid w:val="00CF4C20"/>
    <w:rsid w:val="00CF4D59"/>
    <w:rsid w:val="00CF5573"/>
    <w:rsid w:val="00CF5C70"/>
    <w:rsid w:val="00CF609C"/>
    <w:rsid w:val="00CF65E6"/>
    <w:rsid w:val="00CF6A34"/>
    <w:rsid w:val="00D00404"/>
    <w:rsid w:val="00D004BC"/>
    <w:rsid w:val="00D009C0"/>
    <w:rsid w:val="00D00A83"/>
    <w:rsid w:val="00D01994"/>
    <w:rsid w:val="00D02C8D"/>
    <w:rsid w:val="00D03AB9"/>
    <w:rsid w:val="00D04A93"/>
    <w:rsid w:val="00D04BFE"/>
    <w:rsid w:val="00D050EA"/>
    <w:rsid w:val="00D05D8D"/>
    <w:rsid w:val="00D07A19"/>
    <w:rsid w:val="00D07D06"/>
    <w:rsid w:val="00D10C9A"/>
    <w:rsid w:val="00D11956"/>
    <w:rsid w:val="00D1216F"/>
    <w:rsid w:val="00D1369D"/>
    <w:rsid w:val="00D1462A"/>
    <w:rsid w:val="00D14D19"/>
    <w:rsid w:val="00D15477"/>
    <w:rsid w:val="00D170D4"/>
    <w:rsid w:val="00D21491"/>
    <w:rsid w:val="00D218D0"/>
    <w:rsid w:val="00D225AD"/>
    <w:rsid w:val="00D23F1E"/>
    <w:rsid w:val="00D2522B"/>
    <w:rsid w:val="00D2683F"/>
    <w:rsid w:val="00D300CF"/>
    <w:rsid w:val="00D30855"/>
    <w:rsid w:val="00D32108"/>
    <w:rsid w:val="00D33047"/>
    <w:rsid w:val="00D33E80"/>
    <w:rsid w:val="00D33EEC"/>
    <w:rsid w:val="00D33F66"/>
    <w:rsid w:val="00D343B2"/>
    <w:rsid w:val="00D34BD9"/>
    <w:rsid w:val="00D352B8"/>
    <w:rsid w:val="00D35EC6"/>
    <w:rsid w:val="00D360D5"/>
    <w:rsid w:val="00D37093"/>
    <w:rsid w:val="00D402A0"/>
    <w:rsid w:val="00D40555"/>
    <w:rsid w:val="00D4180A"/>
    <w:rsid w:val="00D41F60"/>
    <w:rsid w:val="00D422DE"/>
    <w:rsid w:val="00D43619"/>
    <w:rsid w:val="00D4463D"/>
    <w:rsid w:val="00D455F1"/>
    <w:rsid w:val="00D4608C"/>
    <w:rsid w:val="00D46DF2"/>
    <w:rsid w:val="00D476C9"/>
    <w:rsid w:val="00D4785C"/>
    <w:rsid w:val="00D50A86"/>
    <w:rsid w:val="00D51558"/>
    <w:rsid w:val="00D51599"/>
    <w:rsid w:val="00D516A8"/>
    <w:rsid w:val="00D52791"/>
    <w:rsid w:val="00D52F9C"/>
    <w:rsid w:val="00D5353C"/>
    <w:rsid w:val="00D535D5"/>
    <w:rsid w:val="00D536AD"/>
    <w:rsid w:val="00D544C6"/>
    <w:rsid w:val="00D5459D"/>
    <w:rsid w:val="00D57ACE"/>
    <w:rsid w:val="00D57D9B"/>
    <w:rsid w:val="00D614E5"/>
    <w:rsid w:val="00D61A8F"/>
    <w:rsid w:val="00D6259F"/>
    <w:rsid w:val="00D629D9"/>
    <w:rsid w:val="00D63EAB"/>
    <w:rsid w:val="00D64B8A"/>
    <w:rsid w:val="00D64C44"/>
    <w:rsid w:val="00D65299"/>
    <w:rsid w:val="00D65D88"/>
    <w:rsid w:val="00D66711"/>
    <w:rsid w:val="00D66FB7"/>
    <w:rsid w:val="00D67977"/>
    <w:rsid w:val="00D6797E"/>
    <w:rsid w:val="00D716B1"/>
    <w:rsid w:val="00D72292"/>
    <w:rsid w:val="00D72431"/>
    <w:rsid w:val="00D75895"/>
    <w:rsid w:val="00D75D44"/>
    <w:rsid w:val="00D75FF5"/>
    <w:rsid w:val="00D76113"/>
    <w:rsid w:val="00D769C7"/>
    <w:rsid w:val="00D7702F"/>
    <w:rsid w:val="00D77DC2"/>
    <w:rsid w:val="00D77FE4"/>
    <w:rsid w:val="00D80D60"/>
    <w:rsid w:val="00D814F1"/>
    <w:rsid w:val="00D82E48"/>
    <w:rsid w:val="00D8359C"/>
    <w:rsid w:val="00D83AC0"/>
    <w:rsid w:val="00D83D9B"/>
    <w:rsid w:val="00D83FBA"/>
    <w:rsid w:val="00D8509B"/>
    <w:rsid w:val="00D85200"/>
    <w:rsid w:val="00D86D6F"/>
    <w:rsid w:val="00D87281"/>
    <w:rsid w:val="00D87C2B"/>
    <w:rsid w:val="00D904D2"/>
    <w:rsid w:val="00D90CBF"/>
    <w:rsid w:val="00D925C4"/>
    <w:rsid w:val="00D9385E"/>
    <w:rsid w:val="00D94464"/>
    <w:rsid w:val="00D94886"/>
    <w:rsid w:val="00D948E9"/>
    <w:rsid w:val="00D96F61"/>
    <w:rsid w:val="00D9723B"/>
    <w:rsid w:val="00DA1A15"/>
    <w:rsid w:val="00DA1E37"/>
    <w:rsid w:val="00DA1F4D"/>
    <w:rsid w:val="00DA210B"/>
    <w:rsid w:val="00DA347F"/>
    <w:rsid w:val="00DA40DB"/>
    <w:rsid w:val="00DA4A27"/>
    <w:rsid w:val="00DA4B91"/>
    <w:rsid w:val="00DA50D7"/>
    <w:rsid w:val="00DA5BF2"/>
    <w:rsid w:val="00DA5C9C"/>
    <w:rsid w:val="00DA5E27"/>
    <w:rsid w:val="00DA5EE9"/>
    <w:rsid w:val="00DA6AF0"/>
    <w:rsid w:val="00DA6B25"/>
    <w:rsid w:val="00DA771C"/>
    <w:rsid w:val="00DA7CA6"/>
    <w:rsid w:val="00DB0403"/>
    <w:rsid w:val="00DB0615"/>
    <w:rsid w:val="00DB08F2"/>
    <w:rsid w:val="00DB0FAD"/>
    <w:rsid w:val="00DB19F1"/>
    <w:rsid w:val="00DB2EA4"/>
    <w:rsid w:val="00DB2F8F"/>
    <w:rsid w:val="00DB3952"/>
    <w:rsid w:val="00DB3F52"/>
    <w:rsid w:val="00DB3FC8"/>
    <w:rsid w:val="00DB44F6"/>
    <w:rsid w:val="00DB5043"/>
    <w:rsid w:val="00DB5874"/>
    <w:rsid w:val="00DB625B"/>
    <w:rsid w:val="00DB7260"/>
    <w:rsid w:val="00DB771F"/>
    <w:rsid w:val="00DB79E9"/>
    <w:rsid w:val="00DC0F44"/>
    <w:rsid w:val="00DC1307"/>
    <w:rsid w:val="00DC1B52"/>
    <w:rsid w:val="00DC3AA6"/>
    <w:rsid w:val="00DC3EDF"/>
    <w:rsid w:val="00DC41ED"/>
    <w:rsid w:val="00DC47E3"/>
    <w:rsid w:val="00DC50E9"/>
    <w:rsid w:val="00DC5977"/>
    <w:rsid w:val="00DC65F8"/>
    <w:rsid w:val="00DC7130"/>
    <w:rsid w:val="00DD0980"/>
    <w:rsid w:val="00DD0986"/>
    <w:rsid w:val="00DD172A"/>
    <w:rsid w:val="00DD1998"/>
    <w:rsid w:val="00DD1CDC"/>
    <w:rsid w:val="00DD2409"/>
    <w:rsid w:val="00DD2A8F"/>
    <w:rsid w:val="00DD3383"/>
    <w:rsid w:val="00DD36BC"/>
    <w:rsid w:val="00DD37C2"/>
    <w:rsid w:val="00DD3F81"/>
    <w:rsid w:val="00DD402F"/>
    <w:rsid w:val="00DD438F"/>
    <w:rsid w:val="00DD482C"/>
    <w:rsid w:val="00DD54E7"/>
    <w:rsid w:val="00DD5952"/>
    <w:rsid w:val="00DD6FB6"/>
    <w:rsid w:val="00DD7374"/>
    <w:rsid w:val="00DD761D"/>
    <w:rsid w:val="00DE0517"/>
    <w:rsid w:val="00DE06B8"/>
    <w:rsid w:val="00DE0C99"/>
    <w:rsid w:val="00DE0F95"/>
    <w:rsid w:val="00DE1B90"/>
    <w:rsid w:val="00DE2C60"/>
    <w:rsid w:val="00DE3E0D"/>
    <w:rsid w:val="00DE43BD"/>
    <w:rsid w:val="00DE4479"/>
    <w:rsid w:val="00DE6604"/>
    <w:rsid w:val="00DF1391"/>
    <w:rsid w:val="00DF2CDA"/>
    <w:rsid w:val="00DF3209"/>
    <w:rsid w:val="00DF3502"/>
    <w:rsid w:val="00DF5090"/>
    <w:rsid w:val="00DF7081"/>
    <w:rsid w:val="00DF731A"/>
    <w:rsid w:val="00DF7490"/>
    <w:rsid w:val="00E00C35"/>
    <w:rsid w:val="00E01D6D"/>
    <w:rsid w:val="00E01DF7"/>
    <w:rsid w:val="00E02B6F"/>
    <w:rsid w:val="00E0312B"/>
    <w:rsid w:val="00E03196"/>
    <w:rsid w:val="00E03BC0"/>
    <w:rsid w:val="00E051A2"/>
    <w:rsid w:val="00E061E9"/>
    <w:rsid w:val="00E06762"/>
    <w:rsid w:val="00E07209"/>
    <w:rsid w:val="00E0731B"/>
    <w:rsid w:val="00E078B8"/>
    <w:rsid w:val="00E07BE6"/>
    <w:rsid w:val="00E102FA"/>
    <w:rsid w:val="00E11900"/>
    <w:rsid w:val="00E128A2"/>
    <w:rsid w:val="00E12E9D"/>
    <w:rsid w:val="00E13052"/>
    <w:rsid w:val="00E144D0"/>
    <w:rsid w:val="00E14696"/>
    <w:rsid w:val="00E153FF"/>
    <w:rsid w:val="00E15B02"/>
    <w:rsid w:val="00E15F75"/>
    <w:rsid w:val="00E219F1"/>
    <w:rsid w:val="00E21FED"/>
    <w:rsid w:val="00E22144"/>
    <w:rsid w:val="00E22736"/>
    <w:rsid w:val="00E23730"/>
    <w:rsid w:val="00E239B3"/>
    <w:rsid w:val="00E244A8"/>
    <w:rsid w:val="00E2473F"/>
    <w:rsid w:val="00E24FB8"/>
    <w:rsid w:val="00E25A26"/>
    <w:rsid w:val="00E25FDB"/>
    <w:rsid w:val="00E26A7A"/>
    <w:rsid w:val="00E27042"/>
    <w:rsid w:val="00E27DB8"/>
    <w:rsid w:val="00E27FF6"/>
    <w:rsid w:val="00E30112"/>
    <w:rsid w:val="00E305B2"/>
    <w:rsid w:val="00E3141B"/>
    <w:rsid w:val="00E317E2"/>
    <w:rsid w:val="00E3189D"/>
    <w:rsid w:val="00E32E10"/>
    <w:rsid w:val="00E33450"/>
    <w:rsid w:val="00E33E97"/>
    <w:rsid w:val="00E3530B"/>
    <w:rsid w:val="00E35413"/>
    <w:rsid w:val="00E355EF"/>
    <w:rsid w:val="00E3586D"/>
    <w:rsid w:val="00E373EA"/>
    <w:rsid w:val="00E37AC3"/>
    <w:rsid w:val="00E37DEE"/>
    <w:rsid w:val="00E408E7"/>
    <w:rsid w:val="00E40C02"/>
    <w:rsid w:val="00E41EA1"/>
    <w:rsid w:val="00E42128"/>
    <w:rsid w:val="00E426B8"/>
    <w:rsid w:val="00E42A16"/>
    <w:rsid w:val="00E42DAB"/>
    <w:rsid w:val="00E43029"/>
    <w:rsid w:val="00E43653"/>
    <w:rsid w:val="00E4381A"/>
    <w:rsid w:val="00E43DC9"/>
    <w:rsid w:val="00E44539"/>
    <w:rsid w:val="00E4494F"/>
    <w:rsid w:val="00E45030"/>
    <w:rsid w:val="00E4519A"/>
    <w:rsid w:val="00E4539D"/>
    <w:rsid w:val="00E45681"/>
    <w:rsid w:val="00E463EE"/>
    <w:rsid w:val="00E4709D"/>
    <w:rsid w:val="00E47DD3"/>
    <w:rsid w:val="00E47DD6"/>
    <w:rsid w:val="00E5080D"/>
    <w:rsid w:val="00E50AFE"/>
    <w:rsid w:val="00E5150B"/>
    <w:rsid w:val="00E51958"/>
    <w:rsid w:val="00E51CBD"/>
    <w:rsid w:val="00E520FF"/>
    <w:rsid w:val="00E524A4"/>
    <w:rsid w:val="00E52923"/>
    <w:rsid w:val="00E53272"/>
    <w:rsid w:val="00E53351"/>
    <w:rsid w:val="00E53790"/>
    <w:rsid w:val="00E558F7"/>
    <w:rsid w:val="00E55BDB"/>
    <w:rsid w:val="00E55D74"/>
    <w:rsid w:val="00E561BF"/>
    <w:rsid w:val="00E56F09"/>
    <w:rsid w:val="00E6028C"/>
    <w:rsid w:val="00E62390"/>
    <w:rsid w:val="00E6257B"/>
    <w:rsid w:val="00E62C38"/>
    <w:rsid w:val="00E644E4"/>
    <w:rsid w:val="00E64EAA"/>
    <w:rsid w:val="00E64EED"/>
    <w:rsid w:val="00E65239"/>
    <w:rsid w:val="00E65721"/>
    <w:rsid w:val="00E6583E"/>
    <w:rsid w:val="00E66635"/>
    <w:rsid w:val="00E66C8F"/>
    <w:rsid w:val="00E6732C"/>
    <w:rsid w:val="00E67643"/>
    <w:rsid w:val="00E676E2"/>
    <w:rsid w:val="00E679AA"/>
    <w:rsid w:val="00E7017D"/>
    <w:rsid w:val="00E7062A"/>
    <w:rsid w:val="00E70749"/>
    <w:rsid w:val="00E70852"/>
    <w:rsid w:val="00E71706"/>
    <w:rsid w:val="00E73C53"/>
    <w:rsid w:val="00E741E5"/>
    <w:rsid w:val="00E74632"/>
    <w:rsid w:val="00E7525A"/>
    <w:rsid w:val="00E75463"/>
    <w:rsid w:val="00E77D8B"/>
    <w:rsid w:val="00E80395"/>
    <w:rsid w:val="00E803A9"/>
    <w:rsid w:val="00E806C9"/>
    <w:rsid w:val="00E807AD"/>
    <w:rsid w:val="00E80C78"/>
    <w:rsid w:val="00E81E38"/>
    <w:rsid w:val="00E823F2"/>
    <w:rsid w:val="00E840BD"/>
    <w:rsid w:val="00E855AF"/>
    <w:rsid w:val="00E858DA"/>
    <w:rsid w:val="00E86F06"/>
    <w:rsid w:val="00E86FFC"/>
    <w:rsid w:val="00E87192"/>
    <w:rsid w:val="00E87255"/>
    <w:rsid w:val="00E900E9"/>
    <w:rsid w:val="00E90CDD"/>
    <w:rsid w:val="00E91D74"/>
    <w:rsid w:val="00E91FD2"/>
    <w:rsid w:val="00E933D8"/>
    <w:rsid w:val="00E93FAA"/>
    <w:rsid w:val="00E94358"/>
    <w:rsid w:val="00E956A9"/>
    <w:rsid w:val="00E95984"/>
    <w:rsid w:val="00E96E8C"/>
    <w:rsid w:val="00E976DB"/>
    <w:rsid w:val="00EA0733"/>
    <w:rsid w:val="00EA0B6A"/>
    <w:rsid w:val="00EA1E89"/>
    <w:rsid w:val="00EA27D9"/>
    <w:rsid w:val="00EA376A"/>
    <w:rsid w:val="00EA4000"/>
    <w:rsid w:val="00EA7D0F"/>
    <w:rsid w:val="00EB077B"/>
    <w:rsid w:val="00EB2B50"/>
    <w:rsid w:val="00EB342A"/>
    <w:rsid w:val="00EB4223"/>
    <w:rsid w:val="00EB476E"/>
    <w:rsid w:val="00EB4F1A"/>
    <w:rsid w:val="00EB50F9"/>
    <w:rsid w:val="00EB7A90"/>
    <w:rsid w:val="00EC2441"/>
    <w:rsid w:val="00EC3C39"/>
    <w:rsid w:val="00EC3D0F"/>
    <w:rsid w:val="00EC46DC"/>
    <w:rsid w:val="00EC548F"/>
    <w:rsid w:val="00EC5B33"/>
    <w:rsid w:val="00EC683C"/>
    <w:rsid w:val="00EC7467"/>
    <w:rsid w:val="00ED0596"/>
    <w:rsid w:val="00ED0CB6"/>
    <w:rsid w:val="00ED1EE4"/>
    <w:rsid w:val="00ED2506"/>
    <w:rsid w:val="00ED256D"/>
    <w:rsid w:val="00ED42D4"/>
    <w:rsid w:val="00ED4A5F"/>
    <w:rsid w:val="00ED4FFB"/>
    <w:rsid w:val="00ED582B"/>
    <w:rsid w:val="00ED5D65"/>
    <w:rsid w:val="00EE1BAA"/>
    <w:rsid w:val="00EE24A1"/>
    <w:rsid w:val="00EE390E"/>
    <w:rsid w:val="00EE3D0D"/>
    <w:rsid w:val="00EE3E13"/>
    <w:rsid w:val="00EE436D"/>
    <w:rsid w:val="00EE4392"/>
    <w:rsid w:val="00EE4C8D"/>
    <w:rsid w:val="00EE5195"/>
    <w:rsid w:val="00EE62AC"/>
    <w:rsid w:val="00EE7124"/>
    <w:rsid w:val="00EF028F"/>
    <w:rsid w:val="00EF1219"/>
    <w:rsid w:val="00EF19B8"/>
    <w:rsid w:val="00EF1A47"/>
    <w:rsid w:val="00EF1D7D"/>
    <w:rsid w:val="00EF2465"/>
    <w:rsid w:val="00EF2AF7"/>
    <w:rsid w:val="00EF3A49"/>
    <w:rsid w:val="00EF3B4B"/>
    <w:rsid w:val="00EF45CA"/>
    <w:rsid w:val="00EF4ECE"/>
    <w:rsid w:val="00EF548A"/>
    <w:rsid w:val="00EF59C2"/>
    <w:rsid w:val="00EF5E53"/>
    <w:rsid w:val="00EF620D"/>
    <w:rsid w:val="00EF6CCD"/>
    <w:rsid w:val="00EF6D8C"/>
    <w:rsid w:val="00EF6E61"/>
    <w:rsid w:val="00EF7449"/>
    <w:rsid w:val="00F0002C"/>
    <w:rsid w:val="00F01116"/>
    <w:rsid w:val="00F01B2D"/>
    <w:rsid w:val="00F01E22"/>
    <w:rsid w:val="00F03481"/>
    <w:rsid w:val="00F039F8"/>
    <w:rsid w:val="00F04365"/>
    <w:rsid w:val="00F05100"/>
    <w:rsid w:val="00F063D4"/>
    <w:rsid w:val="00F06A9D"/>
    <w:rsid w:val="00F07515"/>
    <w:rsid w:val="00F07884"/>
    <w:rsid w:val="00F07ACE"/>
    <w:rsid w:val="00F07EF4"/>
    <w:rsid w:val="00F1057B"/>
    <w:rsid w:val="00F10D9C"/>
    <w:rsid w:val="00F10DF2"/>
    <w:rsid w:val="00F11B96"/>
    <w:rsid w:val="00F127AC"/>
    <w:rsid w:val="00F128F1"/>
    <w:rsid w:val="00F13A1E"/>
    <w:rsid w:val="00F141D6"/>
    <w:rsid w:val="00F14944"/>
    <w:rsid w:val="00F14BD3"/>
    <w:rsid w:val="00F1604D"/>
    <w:rsid w:val="00F174A0"/>
    <w:rsid w:val="00F201E6"/>
    <w:rsid w:val="00F21BD3"/>
    <w:rsid w:val="00F221D2"/>
    <w:rsid w:val="00F237B8"/>
    <w:rsid w:val="00F2381C"/>
    <w:rsid w:val="00F2394E"/>
    <w:rsid w:val="00F25618"/>
    <w:rsid w:val="00F264BB"/>
    <w:rsid w:val="00F265B9"/>
    <w:rsid w:val="00F2770C"/>
    <w:rsid w:val="00F3002F"/>
    <w:rsid w:val="00F30FAA"/>
    <w:rsid w:val="00F318CE"/>
    <w:rsid w:val="00F31D94"/>
    <w:rsid w:val="00F32060"/>
    <w:rsid w:val="00F32CE9"/>
    <w:rsid w:val="00F33456"/>
    <w:rsid w:val="00F3368F"/>
    <w:rsid w:val="00F362B5"/>
    <w:rsid w:val="00F40072"/>
    <w:rsid w:val="00F405A1"/>
    <w:rsid w:val="00F410D8"/>
    <w:rsid w:val="00F41A96"/>
    <w:rsid w:val="00F41B3F"/>
    <w:rsid w:val="00F4245A"/>
    <w:rsid w:val="00F42E2C"/>
    <w:rsid w:val="00F44BB2"/>
    <w:rsid w:val="00F44BEB"/>
    <w:rsid w:val="00F45C0B"/>
    <w:rsid w:val="00F46353"/>
    <w:rsid w:val="00F463C4"/>
    <w:rsid w:val="00F46DDC"/>
    <w:rsid w:val="00F4799E"/>
    <w:rsid w:val="00F5158F"/>
    <w:rsid w:val="00F524F2"/>
    <w:rsid w:val="00F532E0"/>
    <w:rsid w:val="00F53394"/>
    <w:rsid w:val="00F53C66"/>
    <w:rsid w:val="00F53D81"/>
    <w:rsid w:val="00F53DE6"/>
    <w:rsid w:val="00F5472F"/>
    <w:rsid w:val="00F54953"/>
    <w:rsid w:val="00F54B62"/>
    <w:rsid w:val="00F55F32"/>
    <w:rsid w:val="00F56E51"/>
    <w:rsid w:val="00F57754"/>
    <w:rsid w:val="00F600A2"/>
    <w:rsid w:val="00F60274"/>
    <w:rsid w:val="00F60E15"/>
    <w:rsid w:val="00F615A3"/>
    <w:rsid w:val="00F61692"/>
    <w:rsid w:val="00F616CF"/>
    <w:rsid w:val="00F61910"/>
    <w:rsid w:val="00F62539"/>
    <w:rsid w:val="00F627FE"/>
    <w:rsid w:val="00F62E91"/>
    <w:rsid w:val="00F6575D"/>
    <w:rsid w:val="00F6665B"/>
    <w:rsid w:val="00F67548"/>
    <w:rsid w:val="00F67D68"/>
    <w:rsid w:val="00F70C8E"/>
    <w:rsid w:val="00F71D16"/>
    <w:rsid w:val="00F747B4"/>
    <w:rsid w:val="00F757F4"/>
    <w:rsid w:val="00F76436"/>
    <w:rsid w:val="00F77563"/>
    <w:rsid w:val="00F77FB9"/>
    <w:rsid w:val="00F803D6"/>
    <w:rsid w:val="00F809E5"/>
    <w:rsid w:val="00F8170A"/>
    <w:rsid w:val="00F8434F"/>
    <w:rsid w:val="00F852D1"/>
    <w:rsid w:val="00F874B8"/>
    <w:rsid w:val="00F92313"/>
    <w:rsid w:val="00F92457"/>
    <w:rsid w:val="00F92991"/>
    <w:rsid w:val="00F92A49"/>
    <w:rsid w:val="00F92D00"/>
    <w:rsid w:val="00F930D4"/>
    <w:rsid w:val="00F93C80"/>
    <w:rsid w:val="00F942E7"/>
    <w:rsid w:val="00F94526"/>
    <w:rsid w:val="00F94F2B"/>
    <w:rsid w:val="00F95CD2"/>
    <w:rsid w:val="00F96608"/>
    <w:rsid w:val="00F96E8E"/>
    <w:rsid w:val="00F975C8"/>
    <w:rsid w:val="00F97D7F"/>
    <w:rsid w:val="00FA0A66"/>
    <w:rsid w:val="00FA0E42"/>
    <w:rsid w:val="00FA0F52"/>
    <w:rsid w:val="00FA1693"/>
    <w:rsid w:val="00FA1F56"/>
    <w:rsid w:val="00FA34E2"/>
    <w:rsid w:val="00FA36D9"/>
    <w:rsid w:val="00FA44E7"/>
    <w:rsid w:val="00FA5374"/>
    <w:rsid w:val="00FA5FBB"/>
    <w:rsid w:val="00FA606C"/>
    <w:rsid w:val="00FA67FE"/>
    <w:rsid w:val="00FA7624"/>
    <w:rsid w:val="00FA7C86"/>
    <w:rsid w:val="00FA7DD0"/>
    <w:rsid w:val="00FB068F"/>
    <w:rsid w:val="00FB0C20"/>
    <w:rsid w:val="00FB2FDE"/>
    <w:rsid w:val="00FB3FB4"/>
    <w:rsid w:val="00FB43B8"/>
    <w:rsid w:val="00FB4577"/>
    <w:rsid w:val="00FB5B76"/>
    <w:rsid w:val="00FB6631"/>
    <w:rsid w:val="00FB67C7"/>
    <w:rsid w:val="00FC07C5"/>
    <w:rsid w:val="00FC0A8A"/>
    <w:rsid w:val="00FC0ACE"/>
    <w:rsid w:val="00FC25C2"/>
    <w:rsid w:val="00FC3C1C"/>
    <w:rsid w:val="00FC4158"/>
    <w:rsid w:val="00FC481A"/>
    <w:rsid w:val="00FC513F"/>
    <w:rsid w:val="00FC5542"/>
    <w:rsid w:val="00FC5EA9"/>
    <w:rsid w:val="00FC5EF7"/>
    <w:rsid w:val="00FC76EB"/>
    <w:rsid w:val="00FC7A46"/>
    <w:rsid w:val="00FD011C"/>
    <w:rsid w:val="00FD070B"/>
    <w:rsid w:val="00FD1F50"/>
    <w:rsid w:val="00FD4F92"/>
    <w:rsid w:val="00FD61B8"/>
    <w:rsid w:val="00FD6729"/>
    <w:rsid w:val="00FD6AE8"/>
    <w:rsid w:val="00FE1972"/>
    <w:rsid w:val="00FE19CE"/>
    <w:rsid w:val="00FE306E"/>
    <w:rsid w:val="00FE38D9"/>
    <w:rsid w:val="00FE3DE8"/>
    <w:rsid w:val="00FE5078"/>
    <w:rsid w:val="00FE5445"/>
    <w:rsid w:val="00FE5A3C"/>
    <w:rsid w:val="00FE5A70"/>
    <w:rsid w:val="00FE6FF1"/>
    <w:rsid w:val="00FE70E7"/>
    <w:rsid w:val="00FE798C"/>
    <w:rsid w:val="00FE7AD0"/>
    <w:rsid w:val="00FE7F07"/>
    <w:rsid w:val="00FF053A"/>
    <w:rsid w:val="00FF069F"/>
    <w:rsid w:val="00FF0C17"/>
    <w:rsid w:val="00FF18EF"/>
    <w:rsid w:val="00FF3F35"/>
    <w:rsid w:val="00FF3F74"/>
    <w:rsid w:val="00FF3FEF"/>
    <w:rsid w:val="00FF5314"/>
    <w:rsid w:val="00FF585B"/>
    <w:rsid w:val="00FF5A84"/>
    <w:rsid w:val="00FF5D52"/>
    <w:rsid w:val="00FF723E"/>
    <w:rsid w:val="00FF763D"/>
    <w:rsid w:val="00FF7AAF"/>
    <w:rsid w:val="00FF7B5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9DA43"/>
  <w14:defaultImageDpi w14:val="32767"/>
  <w15:docId w15:val="{7AD9E59C-380B-4218-BDD3-71E22F7F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AD4"/>
    <w:rPr>
      <w:rFonts w:ascii="Century Gothic" w:hAnsi="Century Gothic"/>
      <w:sz w:val="18"/>
      <w:szCs w:val="22"/>
    </w:rPr>
  </w:style>
  <w:style w:type="paragraph" w:styleId="Heading1">
    <w:name w:val="heading 1"/>
    <w:basedOn w:val="Normal"/>
    <w:next w:val="Normal"/>
    <w:link w:val="Heading1Char"/>
    <w:uiPriority w:val="9"/>
    <w:qFormat/>
    <w:rsid w:val="00EE4C8D"/>
    <w:pPr>
      <w:keepNext/>
      <w:keepLines/>
      <w:spacing w:before="240"/>
      <w:outlineLvl w:val="0"/>
    </w:pPr>
    <w:rPr>
      <w:rFonts w:eastAsiaTheme="majorEastAsia" w:cstheme="majorBidi"/>
      <w:color w:val="548AB7" w:themeColor="accent1" w:themeShade="BF"/>
      <w:sz w:val="32"/>
      <w:szCs w:val="32"/>
    </w:rPr>
  </w:style>
  <w:style w:type="paragraph" w:styleId="Heading2">
    <w:name w:val="heading 2"/>
    <w:basedOn w:val="Normal"/>
    <w:next w:val="Normal"/>
    <w:link w:val="Heading2Char"/>
    <w:uiPriority w:val="9"/>
    <w:qFormat/>
    <w:rsid w:val="00EE4C8D"/>
    <w:pPr>
      <w:keepNext/>
      <w:keepLines/>
      <w:pBdr>
        <w:bottom w:val="single" w:sz="8" w:space="1" w:color="94B6D2" w:themeColor="accent1"/>
      </w:pBdr>
      <w:spacing w:before="240" w:after="120"/>
      <w:outlineLvl w:val="1"/>
    </w:pPr>
    <w:rPr>
      <w:rFonts w:eastAsiaTheme="majorEastAsia" w:cstheme="majorBidi"/>
      <w:b/>
      <w:bCs/>
      <w:caps/>
      <w:sz w:val="22"/>
      <w:szCs w:val="26"/>
    </w:rPr>
  </w:style>
  <w:style w:type="paragraph" w:styleId="Heading3">
    <w:name w:val="heading 3"/>
    <w:basedOn w:val="Normal"/>
    <w:next w:val="Normal"/>
    <w:link w:val="Heading3Char"/>
    <w:uiPriority w:val="9"/>
    <w:qFormat/>
    <w:rsid w:val="00EE4C8D"/>
    <w:pPr>
      <w:keepNext/>
      <w:keepLines/>
      <w:spacing w:before="240" w:after="120"/>
      <w:outlineLvl w:val="2"/>
    </w:pPr>
    <w:rPr>
      <w:rFonts w:eastAsiaTheme="majorEastAsia" w:cstheme="majorBidi"/>
      <w:b/>
      <w:caps/>
      <w:color w:val="548AB7" w:themeColor="accent1" w:themeShade="BF"/>
      <w:sz w:val="22"/>
      <w:szCs w:val="24"/>
    </w:rPr>
  </w:style>
  <w:style w:type="paragraph" w:styleId="Heading4">
    <w:name w:val="heading 4"/>
    <w:basedOn w:val="Normal"/>
    <w:next w:val="Normal"/>
    <w:link w:val="Heading4Char"/>
    <w:uiPriority w:val="9"/>
    <w:qFormat/>
    <w:rsid w:val="00EE4C8D"/>
    <w:pPr>
      <w:outlineLvl w:val="3"/>
    </w:pPr>
    <w:rPr>
      <w:b/>
    </w:rPr>
  </w:style>
  <w:style w:type="paragraph" w:styleId="Heading5">
    <w:name w:val="heading 5"/>
    <w:basedOn w:val="Normal"/>
    <w:next w:val="Normal"/>
    <w:link w:val="Heading5Char"/>
    <w:uiPriority w:val="9"/>
    <w:semiHidden/>
    <w:qFormat/>
    <w:rsid w:val="00EE4C8D"/>
    <w:pPr>
      <w:keepNext/>
      <w:keepLines/>
      <w:spacing w:before="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qFormat/>
    <w:rsid w:val="00EE4C8D"/>
    <w:pPr>
      <w:keepNext/>
      <w:keepLines/>
      <w:spacing w:before="40"/>
      <w:outlineLvl w:val="5"/>
    </w:pPr>
    <w:rPr>
      <w:rFonts w:eastAsiaTheme="majorEastAsia" w:cstheme="majorBidi"/>
      <w:color w:val="345C7D" w:themeColor="accent1" w:themeShade="7F"/>
    </w:rPr>
  </w:style>
  <w:style w:type="paragraph" w:styleId="Heading7">
    <w:name w:val="heading 7"/>
    <w:basedOn w:val="Normal"/>
    <w:next w:val="Normal"/>
    <w:link w:val="Heading7Char"/>
    <w:uiPriority w:val="9"/>
    <w:semiHidden/>
    <w:qFormat/>
    <w:rsid w:val="00EE4C8D"/>
    <w:pPr>
      <w:keepNext/>
      <w:keepLines/>
      <w:spacing w:before="40"/>
      <w:outlineLvl w:val="6"/>
    </w:pPr>
    <w:rPr>
      <w:rFonts w:eastAsiaTheme="majorEastAsia" w:cstheme="majorBidi"/>
      <w:i/>
      <w:iCs/>
      <w:color w:val="345C7D" w:themeColor="accent1" w:themeShade="7F"/>
    </w:rPr>
  </w:style>
  <w:style w:type="paragraph" w:styleId="Heading8">
    <w:name w:val="heading 8"/>
    <w:basedOn w:val="Normal"/>
    <w:next w:val="Normal"/>
    <w:link w:val="Heading8Char"/>
    <w:uiPriority w:val="9"/>
    <w:semiHidden/>
    <w:qFormat/>
    <w:rsid w:val="00EE4C8D"/>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qFormat/>
    <w:rsid w:val="00EE4C8D"/>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4C8D"/>
    <w:rPr>
      <w:rFonts w:ascii="Century Gothic" w:eastAsiaTheme="majorEastAsia" w:hAnsi="Century Gothic" w:cstheme="majorBidi"/>
      <w:b/>
      <w:bCs/>
      <w:caps/>
      <w:sz w:val="22"/>
      <w:szCs w:val="26"/>
    </w:rPr>
  </w:style>
  <w:style w:type="paragraph" w:styleId="Title">
    <w:name w:val="Title"/>
    <w:basedOn w:val="Normal"/>
    <w:next w:val="Normal"/>
    <w:link w:val="TitleChar"/>
    <w:uiPriority w:val="10"/>
    <w:qFormat/>
    <w:rsid w:val="00EE4C8D"/>
    <w:rPr>
      <w:caps/>
      <w:color w:val="000000" w:themeColor="text1"/>
      <w:sz w:val="96"/>
      <w:szCs w:val="76"/>
    </w:rPr>
  </w:style>
  <w:style w:type="character" w:customStyle="1" w:styleId="TitleChar">
    <w:name w:val="Title Char"/>
    <w:basedOn w:val="DefaultParagraphFont"/>
    <w:link w:val="Title"/>
    <w:uiPriority w:val="10"/>
    <w:rsid w:val="00EE4C8D"/>
    <w:rPr>
      <w:rFonts w:ascii="Century Gothic" w:hAnsi="Century Gothic"/>
      <w:caps/>
      <w:color w:val="000000" w:themeColor="text1"/>
      <w:sz w:val="96"/>
      <w:szCs w:val="76"/>
    </w:rPr>
  </w:style>
  <w:style w:type="character" w:styleId="Emphasis">
    <w:name w:val="Emphasis"/>
    <w:basedOn w:val="DefaultParagraphFont"/>
    <w:uiPriority w:val="20"/>
    <w:qFormat/>
    <w:rsid w:val="00EE4C8D"/>
    <w:rPr>
      <w:rFonts w:ascii="Century Gothic" w:hAnsi="Century Gothic"/>
      <w:i/>
      <w:iCs/>
    </w:rPr>
  </w:style>
  <w:style w:type="character" w:customStyle="1" w:styleId="Heading1Char">
    <w:name w:val="Heading 1 Char"/>
    <w:basedOn w:val="DefaultParagraphFont"/>
    <w:link w:val="Heading1"/>
    <w:uiPriority w:val="9"/>
    <w:rsid w:val="00EE4C8D"/>
    <w:rPr>
      <w:rFonts w:ascii="Century Gothic" w:eastAsiaTheme="majorEastAsia" w:hAnsi="Century Gothic" w:cstheme="majorBidi"/>
      <w:color w:val="548AB7" w:themeColor="accent1" w:themeShade="BF"/>
      <w:sz w:val="32"/>
      <w:szCs w:val="32"/>
    </w:rPr>
  </w:style>
  <w:style w:type="paragraph" w:styleId="Date">
    <w:name w:val="Date"/>
    <w:basedOn w:val="Normal"/>
    <w:next w:val="Normal"/>
    <w:link w:val="DateChar"/>
    <w:uiPriority w:val="99"/>
    <w:rsid w:val="00EE4C8D"/>
  </w:style>
  <w:style w:type="character" w:customStyle="1" w:styleId="DateChar">
    <w:name w:val="Date Char"/>
    <w:basedOn w:val="DefaultParagraphFont"/>
    <w:link w:val="Date"/>
    <w:uiPriority w:val="99"/>
    <w:rsid w:val="00EE4C8D"/>
    <w:rPr>
      <w:rFonts w:ascii="Century Gothic" w:hAnsi="Century Gothic"/>
      <w:sz w:val="18"/>
      <w:szCs w:val="22"/>
    </w:rPr>
  </w:style>
  <w:style w:type="character" w:styleId="Hyperlink">
    <w:name w:val="Hyperlink"/>
    <w:basedOn w:val="DefaultParagraphFont"/>
    <w:unhideWhenUsed/>
    <w:qFormat/>
    <w:rsid w:val="00EE4C8D"/>
    <w:rPr>
      <w:rFonts w:ascii="Century Gothic" w:hAnsi="Century Gothic"/>
      <w:color w:val="B85A22" w:themeColor="accent2" w:themeShade="BF"/>
      <w:u w:val="single"/>
    </w:rPr>
  </w:style>
  <w:style w:type="character" w:customStyle="1" w:styleId="Mencinnoresuelta1">
    <w:name w:val="Mención no resuelta 1"/>
    <w:basedOn w:val="DefaultParagraphFont"/>
    <w:uiPriority w:val="99"/>
    <w:semiHidden/>
    <w:rsid w:val="00EE4C8D"/>
    <w:rPr>
      <w:rFonts w:ascii="Century Gothic" w:hAnsi="Century Gothic"/>
      <w:color w:val="605E5C"/>
      <w:shd w:val="clear" w:color="auto" w:fill="E1DFDD"/>
    </w:rPr>
  </w:style>
  <w:style w:type="paragraph" w:styleId="Header">
    <w:name w:val="header"/>
    <w:basedOn w:val="Normal"/>
    <w:link w:val="HeaderChar"/>
    <w:uiPriority w:val="99"/>
    <w:rsid w:val="00EE4C8D"/>
    <w:pPr>
      <w:tabs>
        <w:tab w:val="center" w:pos="4680"/>
        <w:tab w:val="right" w:pos="9360"/>
      </w:tabs>
    </w:pPr>
  </w:style>
  <w:style w:type="character" w:customStyle="1" w:styleId="HeaderChar">
    <w:name w:val="Header Char"/>
    <w:basedOn w:val="DefaultParagraphFont"/>
    <w:link w:val="Header"/>
    <w:uiPriority w:val="99"/>
    <w:rsid w:val="00EE4C8D"/>
    <w:rPr>
      <w:rFonts w:ascii="Century Gothic" w:hAnsi="Century Gothic"/>
      <w:sz w:val="18"/>
      <w:szCs w:val="22"/>
    </w:rPr>
  </w:style>
  <w:style w:type="paragraph" w:styleId="Footer">
    <w:name w:val="footer"/>
    <w:basedOn w:val="Normal"/>
    <w:link w:val="FooterChar"/>
    <w:uiPriority w:val="99"/>
    <w:rsid w:val="00EE4C8D"/>
    <w:pPr>
      <w:tabs>
        <w:tab w:val="center" w:pos="4680"/>
        <w:tab w:val="right" w:pos="9360"/>
      </w:tabs>
    </w:pPr>
  </w:style>
  <w:style w:type="character" w:customStyle="1" w:styleId="FooterChar">
    <w:name w:val="Footer Char"/>
    <w:basedOn w:val="DefaultParagraphFont"/>
    <w:link w:val="Footer"/>
    <w:uiPriority w:val="99"/>
    <w:rsid w:val="00EE4C8D"/>
    <w:rPr>
      <w:rFonts w:ascii="Century Gothic" w:hAnsi="Century Gothic"/>
      <w:sz w:val="18"/>
      <w:szCs w:val="22"/>
    </w:rPr>
  </w:style>
  <w:style w:type="table" w:styleId="TableGrid">
    <w:name w:val="Table Grid"/>
    <w:basedOn w:val="TableNormal"/>
    <w:uiPriority w:val="39"/>
    <w:rsid w:val="00EE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4C8D"/>
    <w:rPr>
      <w:rFonts w:ascii="Century Gothic" w:hAnsi="Century Gothic"/>
      <w:color w:val="808080"/>
    </w:rPr>
  </w:style>
  <w:style w:type="paragraph" w:styleId="Subtitle">
    <w:name w:val="Subtitle"/>
    <w:basedOn w:val="Normal"/>
    <w:next w:val="Normal"/>
    <w:link w:val="SubtitleChar"/>
    <w:uiPriority w:val="11"/>
    <w:qFormat/>
    <w:rsid w:val="00EE4C8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EE4C8D"/>
    <w:rPr>
      <w:rFonts w:ascii="Century Gothic" w:hAnsi="Century Gothic"/>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EE4C8D"/>
    <w:rPr>
      <w:rFonts w:ascii="Century Gothic" w:eastAsiaTheme="majorEastAsia" w:hAnsi="Century Gothic" w:cstheme="majorBidi"/>
      <w:b/>
      <w:caps/>
      <w:color w:val="548AB7" w:themeColor="accent1" w:themeShade="BF"/>
      <w:sz w:val="22"/>
    </w:rPr>
  </w:style>
  <w:style w:type="character" w:customStyle="1" w:styleId="Heading4Char">
    <w:name w:val="Heading 4 Char"/>
    <w:basedOn w:val="DefaultParagraphFont"/>
    <w:link w:val="Heading4"/>
    <w:uiPriority w:val="9"/>
    <w:rsid w:val="00EE4C8D"/>
    <w:rPr>
      <w:rFonts w:ascii="Century Gothic" w:hAnsi="Century Gothic"/>
      <w:b/>
      <w:sz w:val="18"/>
      <w:szCs w:val="22"/>
    </w:rPr>
  </w:style>
  <w:style w:type="character" w:customStyle="1" w:styleId="1">
    <w:name w:val="@他1"/>
    <w:basedOn w:val="DefaultParagraphFont"/>
    <w:uiPriority w:val="99"/>
    <w:semiHidden/>
    <w:unhideWhenUsed/>
    <w:rsid w:val="00EE4C8D"/>
    <w:rPr>
      <w:rFonts w:ascii="Century Gothic" w:hAnsi="Century Gothic"/>
      <w:color w:val="2B579A"/>
      <w:shd w:val="clear" w:color="auto" w:fill="E1DFDD"/>
    </w:rPr>
  </w:style>
  <w:style w:type="numbering" w:styleId="111111">
    <w:name w:val="Outline List 2"/>
    <w:basedOn w:val="NoList"/>
    <w:uiPriority w:val="99"/>
    <w:semiHidden/>
    <w:unhideWhenUsed/>
    <w:rsid w:val="00EE4C8D"/>
    <w:pPr>
      <w:numPr>
        <w:numId w:val="1"/>
      </w:numPr>
    </w:pPr>
  </w:style>
  <w:style w:type="numbering" w:styleId="1ai">
    <w:name w:val="Outline List 1"/>
    <w:basedOn w:val="NoList"/>
    <w:uiPriority w:val="99"/>
    <w:semiHidden/>
    <w:unhideWhenUsed/>
    <w:rsid w:val="00EE4C8D"/>
    <w:pPr>
      <w:numPr>
        <w:numId w:val="2"/>
      </w:numPr>
    </w:pPr>
  </w:style>
  <w:style w:type="character" w:styleId="HTMLCode">
    <w:name w:val="HTML Code"/>
    <w:basedOn w:val="DefaultParagraphFont"/>
    <w:uiPriority w:val="99"/>
    <w:semiHidden/>
    <w:unhideWhenUsed/>
    <w:rsid w:val="00EE4C8D"/>
    <w:rPr>
      <w:rFonts w:ascii="Consolas" w:hAnsi="Consolas"/>
      <w:sz w:val="20"/>
      <w:szCs w:val="20"/>
    </w:rPr>
  </w:style>
  <w:style w:type="character" w:styleId="HTMLVariable">
    <w:name w:val="HTML Variable"/>
    <w:basedOn w:val="DefaultParagraphFont"/>
    <w:uiPriority w:val="99"/>
    <w:semiHidden/>
    <w:unhideWhenUsed/>
    <w:rsid w:val="00EE4C8D"/>
    <w:rPr>
      <w:rFonts w:ascii="Century Gothic" w:hAnsi="Century Gothic"/>
      <w:i/>
      <w:iCs/>
    </w:rPr>
  </w:style>
  <w:style w:type="paragraph" w:styleId="HTMLAddress">
    <w:name w:val="HTML Address"/>
    <w:basedOn w:val="Normal"/>
    <w:link w:val="HTMLAddressChar"/>
    <w:uiPriority w:val="99"/>
    <w:semiHidden/>
    <w:unhideWhenUsed/>
    <w:rsid w:val="00EE4C8D"/>
    <w:rPr>
      <w:i/>
      <w:iCs/>
    </w:rPr>
  </w:style>
  <w:style w:type="character" w:customStyle="1" w:styleId="HTMLAddressChar">
    <w:name w:val="HTML Address Char"/>
    <w:basedOn w:val="DefaultParagraphFont"/>
    <w:link w:val="HTMLAddress"/>
    <w:uiPriority w:val="99"/>
    <w:semiHidden/>
    <w:rsid w:val="00EE4C8D"/>
    <w:rPr>
      <w:rFonts w:ascii="Century Gothic" w:hAnsi="Century Gothic"/>
      <w:i/>
      <w:iCs/>
      <w:sz w:val="18"/>
      <w:szCs w:val="22"/>
    </w:rPr>
  </w:style>
  <w:style w:type="character" w:styleId="HTMLDefinition">
    <w:name w:val="HTML Definition"/>
    <w:basedOn w:val="DefaultParagraphFont"/>
    <w:uiPriority w:val="99"/>
    <w:semiHidden/>
    <w:unhideWhenUsed/>
    <w:rsid w:val="00EE4C8D"/>
    <w:rPr>
      <w:rFonts w:ascii="Century Gothic" w:hAnsi="Century Gothic"/>
      <w:i/>
      <w:iCs/>
    </w:rPr>
  </w:style>
  <w:style w:type="character" w:styleId="HTMLCite">
    <w:name w:val="HTML Cite"/>
    <w:basedOn w:val="DefaultParagraphFont"/>
    <w:uiPriority w:val="99"/>
    <w:semiHidden/>
    <w:unhideWhenUsed/>
    <w:rsid w:val="00EE4C8D"/>
    <w:rPr>
      <w:rFonts w:ascii="Century Gothic" w:hAnsi="Century Gothic"/>
      <w:i/>
      <w:iCs/>
    </w:rPr>
  </w:style>
  <w:style w:type="character" w:styleId="HTMLTypewriter">
    <w:name w:val="HTML Typewriter"/>
    <w:basedOn w:val="DefaultParagraphFont"/>
    <w:uiPriority w:val="99"/>
    <w:semiHidden/>
    <w:unhideWhenUsed/>
    <w:rsid w:val="00EE4C8D"/>
    <w:rPr>
      <w:rFonts w:ascii="Consolas" w:hAnsi="Consolas"/>
      <w:sz w:val="20"/>
      <w:szCs w:val="20"/>
    </w:rPr>
  </w:style>
  <w:style w:type="character" w:styleId="HTMLSample">
    <w:name w:val="HTML Sample"/>
    <w:basedOn w:val="DefaultParagraphFont"/>
    <w:uiPriority w:val="99"/>
    <w:semiHidden/>
    <w:unhideWhenUsed/>
    <w:rsid w:val="00EE4C8D"/>
    <w:rPr>
      <w:rFonts w:ascii="Consolas" w:hAnsi="Consolas"/>
      <w:sz w:val="24"/>
      <w:szCs w:val="24"/>
    </w:rPr>
  </w:style>
  <w:style w:type="character" w:styleId="HTMLAcronym">
    <w:name w:val="HTML Acronym"/>
    <w:basedOn w:val="DefaultParagraphFont"/>
    <w:uiPriority w:val="99"/>
    <w:semiHidden/>
    <w:unhideWhenUsed/>
    <w:rsid w:val="00EE4C8D"/>
    <w:rPr>
      <w:rFonts w:ascii="Century Gothic" w:hAnsi="Century Gothic"/>
    </w:rPr>
  </w:style>
  <w:style w:type="character" w:styleId="HTMLKeyboard">
    <w:name w:val="HTML Keyboard"/>
    <w:basedOn w:val="DefaultParagraphFont"/>
    <w:uiPriority w:val="99"/>
    <w:semiHidden/>
    <w:unhideWhenUsed/>
    <w:rsid w:val="00EE4C8D"/>
    <w:rPr>
      <w:rFonts w:ascii="Consolas" w:hAnsi="Consolas"/>
      <w:sz w:val="20"/>
      <w:szCs w:val="20"/>
    </w:rPr>
  </w:style>
  <w:style w:type="paragraph" w:styleId="HTMLPreformatted">
    <w:name w:val="HTML Preformatted"/>
    <w:basedOn w:val="Normal"/>
    <w:link w:val="HTMLPreformattedChar"/>
    <w:uiPriority w:val="99"/>
    <w:unhideWhenUsed/>
    <w:rsid w:val="00EE4C8D"/>
    <w:rPr>
      <w:rFonts w:ascii="Consolas" w:hAnsi="Consolas"/>
      <w:sz w:val="20"/>
      <w:szCs w:val="20"/>
    </w:rPr>
  </w:style>
  <w:style w:type="character" w:customStyle="1" w:styleId="HTMLPreformattedChar">
    <w:name w:val="HTML Preformatted Char"/>
    <w:basedOn w:val="DefaultParagraphFont"/>
    <w:link w:val="HTMLPreformatted"/>
    <w:uiPriority w:val="99"/>
    <w:rsid w:val="00EE4C8D"/>
    <w:rPr>
      <w:rFonts w:ascii="Consolas" w:hAnsi="Consolas"/>
      <w:sz w:val="20"/>
      <w:szCs w:val="20"/>
    </w:rPr>
  </w:style>
  <w:style w:type="paragraph" w:styleId="TOC1">
    <w:name w:val="toc 1"/>
    <w:basedOn w:val="Normal"/>
    <w:next w:val="Normal"/>
    <w:autoRedefine/>
    <w:uiPriority w:val="39"/>
    <w:semiHidden/>
    <w:rsid w:val="00EE4C8D"/>
    <w:pPr>
      <w:spacing w:after="100"/>
    </w:pPr>
  </w:style>
  <w:style w:type="paragraph" w:styleId="TOC2">
    <w:name w:val="toc 2"/>
    <w:basedOn w:val="Normal"/>
    <w:next w:val="Normal"/>
    <w:autoRedefine/>
    <w:uiPriority w:val="39"/>
    <w:semiHidden/>
    <w:rsid w:val="00EE4C8D"/>
    <w:pPr>
      <w:spacing w:after="100"/>
      <w:ind w:left="180"/>
    </w:pPr>
  </w:style>
  <w:style w:type="paragraph" w:styleId="TOC3">
    <w:name w:val="toc 3"/>
    <w:basedOn w:val="Normal"/>
    <w:next w:val="Normal"/>
    <w:autoRedefine/>
    <w:uiPriority w:val="39"/>
    <w:semiHidden/>
    <w:rsid w:val="00EE4C8D"/>
    <w:pPr>
      <w:spacing w:after="100"/>
      <w:ind w:left="360"/>
    </w:pPr>
  </w:style>
  <w:style w:type="paragraph" w:styleId="TOC4">
    <w:name w:val="toc 4"/>
    <w:basedOn w:val="Normal"/>
    <w:next w:val="Normal"/>
    <w:autoRedefine/>
    <w:uiPriority w:val="39"/>
    <w:semiHidden/>
    <w:rsid w:val="00EE4C8D"/>
    <w:pPr>
      <w:spacing w:after="100"/>
      <w:ind w:left="540"/>
    </w:pPr>
  </w:style>
  <w:style w:type="paragraph" w:styleId="TOC5">
    <w:name w:val="toc 5"/>
    <w:basedOn w:val="Normal"/>
    <w:next w:val="Normal"/>
    <w:autoRedefine/>
    <w:uiPriority w:val="39"/>
    <w:semiHidden/>
    <w:rsid w:val="00EE4C8D"/>
    <w:pPr>
      <w:spacing w:after="100"/>
      <w:ind w:left="720"/>
    </w:pPr>
  </w:style>
  <w:style w:type="paragraph" w:styleId="TOC6">
    <w:name w:val="toc 6"/>
    <w:basedOn w:val="Normal"/>
    <w:next w:val="Normal"/>
    <w:autoRedefine/>
    <w:uiPriority w:val="39"/>
    <w:semiHidden/>
    <w:rsid w:val="00EE4C8D"/>
    <w:pPr>
      <w:spacing w:after="100"/>
      <w:ind w:left="900"/>
    </w:pPr>
  </w:style>
  <w:style w:type="paragraph" w:styleId="TOC7">
    <w:name w:val="toc 7"/>
    <w:basedOn w:val="Normal"/>
    <w:next w:val="Normal"/>
    <w:autoRedefine/>
    <w:uiPriority w:val="39"/>
    <w:semiHidden/>
    <w:rsid w:val="00EE4C8D"/>
    <w:pPr>
      <w:spacing w:after="100"/>
      <w:ind w:left="1080"/>
    </w:pPr>
  </w:style>
  <w:style w:type="paragraph" w:styleId="TOC8">
    <w:name w:val="toc 8"/>
    <w:basedOn w:val="Normal"/>
    <w:next w:val="Normal"/>
    <w:autoRedefine/>
    <w:uiPriority w:val="39"/>
    <w:semiHidden/>
    <w:rsid w:val="00EE4C8D"/>
    <w:pPr>
      <w:spacing w:after="100"/>
      <w:ind w:left="1260"/>
    </w:pPr>
  </w:style>
  <w:style w:type="paragraph" w:styleId="TOC9">
    <w:name w:val="toc 9"/>
    <w:basedOn w:val="Normal"/>
    <w:next w:val="Normal"/>
    <w:autoRedefine/>
    <w:uiPriority w:val="39"/>
    <w:semiHidden/>
    <w:rsid w:val="00EE4C8D"/>
    <w:pPr>
      <w:spacing w:after="100"/>
      <w:ind w:left="1440"/>
    </w:pPr>
  </w:style>
  <w:style w:type="paragraph" w:styleId="TOCHeading">
    <w:name w:val="TOC Heading"/>
    <w:basedOn w:val="Heading1"/>
    <w:next w:val="Normal"/>
    <w:uiPriority w:val="39"/>
    <w:semiHidden/>
    <w:unhideWhenUsed/>
    <w:qFormat/>
    <w:rsid w:val="00EE4C8D"/>
    <w:pPr>
      <w:outlineLvl w:val="9"/>
    </w:pPr>
  </w:style>
  <w:style w:type="character" w:styleId="SubtleReference">
    <w:name w:val="Subtle Reference"/>
    <w:basedOn w:val="DefaultParagraphFont"/>
    <w:uiPriority w:val="31"/>
    <w:qFormat/>
    <w:rsid w:val="00EE4C8D"/>
    <w:rPr>
      <w:rFonts w:ascii="Century Gothic" w:hAnsi="Century Gothic"/>
      <w:smallCaps/>
      <w:color w:val="5A5A5A" w:themeColor="text1" w:themeTint="A5"/>
    </w:rPr>
  </w:style>
  <w:style w:type="character" w:styleId="SubtleEmphasis">
    <w:name w:val="Subtle Emphasis"/>
    <w:basedOn w:val="DefaultParagraphFont"/>
    <w:uiPriority w:val="19"/>
    <w:qFormat/>
    <w:rsid w:val="00EE4C8D"/>
    <w:rPr>
      <w:rFonts w:ascii="Century Gothic" w:hAnsi="Century Gothic"/>
      <w:i/>
      <w:iCs/>
      <w:color w:val="404040" w:themeColor="text1" w:themeTint="BF"/>
    </w:rPr>
  </w:style>
  <w:style w:type="table" w:styleId="TableProfessional">
    <w:name w:val="Table Professional"/>
    <w:basedOn w:val="Table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EE4C8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75F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E4C8D"/>
    <w:rPr>
      <w:color w:val="000000" w:themeColor="text1"/>
    </w:rPr>
    <w:tblPr>
      <w:tblStyleRowBandSize w:val="1"/>
      <w:tblStyleColBandSize w:val="1"/>
      <w:tblBorders>
        <w:top w:val="single" w:sz="8" w:space="0" w:color="94B6D2" w:themeColor="accent1"/>
        <w:bottom w:val="single" w:sz="8" w:space="0" w:color="94B6D2" w:themeColor="accent1"/>
      </w:tblBorders>
    </w:tblPr>
    <w:tblStylePr w:type="firstRow">
      <w:rPr>
        <w:rFonts w:asciiTheme="majorHAnsi" w:eastAsiaTheme="majorEastAsia" w:hAnsiTheme="majorHAnsi" w:cstheme="majorBidi"/>
      </w:rPr>
      <w:tblPr/>
      <w:tcPr>
        <w:tcBorders>
          <w:top w:val="nil"/>
          <w:bottom w:val="single" w:sz="8" w:space="0" w:color="94B6D2" w:themeColor="accent1"/>
        </w:tcBorders>
      </w:tcPr>
    </w:tblStylePr>
    <w:tblStylePr w:type="lastRow">
      <w:rPr>
        <w:b/>
        <w:bCs/>
        <w:color w:val="775F55" w:themeColor="text2"/>
      </w:rPr>
      <w:tblPr/>
      <w:tcPr>
        <w:tcBorders>
          <w:top w:val="single" w:sz="8" w:space="0" w:color="94B6D2" w:themeColor="accent1"/>
          <w:bottom w:val="single" w:sz="8" w:space="0" w:color="94B6D2" w:themeColor="accent1"/>
        </w:tcBorders>
      </w:tcPr>
    </w:tblStylePr>
    <w:tblStylePr w:type="firstCol">
      <w:rPr>
        <w:b/>
        <w:bCs/>
      </w:rPr>
    </w:tblStylePr>
    <w:tblStylePr w:type="lastCol">
      <w:rPr>
        <w:b/>
        <w:bCs/>
      </w:rPr>
      <w:tblPr/>
      <w:tcPr>
        <w:tcBorders>
          <w:top w:val="single" w:sz="8" w:space="0" w:color="94B6D2" w:themeColor="accent1"/>
          <w:bottom w:val="single" w:sz="8" w:space="0" w:color="94B6D2" w:themeColor="accent1"/>
        </w:tcBorders>
      </w:tcPr>
    </w:tblStylePr>
    <w:tblStylePr w:type="band1Vert">
      <w:tblPr/>
      <w:tcPr>
        <w:shd w:val="clear" w:color="auto" w:fill="E4ECF4" w:themeFill="accent1" w:themeFillTint="3F"/>
      </w:tcPr>
    </w:tblStylePr>
    <w:tblStylePr w:type="band1Horz">
      <w:tblPr/>
      <w:tcPr>
        <w:shd w:val="clear" w:color="auto" w:fill="E4ECF4" w:themeFill="accent1" w:themeFillTint="3F"/>
      </w:tcPr>
    </w:tblStylePr>
  </w:style>
  <w:style w:type="table" w:styleId="MediumList1-Accent2">
    <w:name w:val="Medium List 1 Accent 2"/>
    <w:basedOn w:val="TableNormal"/>
    <w:uiPriority w:val="65"/>
    <w:semiHidden/>
    <w:unhideWhenUsed/>
    <w:rsid w:val="00EE4C8D"/>
    <w:rPr>
      <w:color w:val="000000" w:themeColor="text1"/>
    </w:rPr>
    <w:tblPr>
      <w:tblStyleRowBandSize w:val="1"/>
      <w:tblStyleColBandSize w:val="1"/>
      <w:tblBorders>
        <w:top w:val="single" w:sz="8" w:space="0" w:color="DD8047" w:themeColor="accent2"/>
        <w:bottom w:val="single" w:sz="8" w:space="0" w:color="DD8047" w:themeColor="accent2"/>
      </w:tblBorders>
    </w:tblPr>
    <w:tblStylePr w:type="firstRow">
      <w:rPr>
        <w:rFonts w:asciiTheme="majorHAnsi" w:eastAsiaTheme="majorEastAsia" w:hAnsiTheme="majorHAnsi" w:cstheme="majorBidi"/>
      </w:rPr>
      <w:tblPr/>
      <w:tcPr>
        <w:tcBorders>
          <w:top w:val="nil"/>
          <w:bottom w:val="single" w:sz="8" w:space="0" w:color="DD8047" w:themeColor="accent2"/>
        </w:tcBorders>
      </w:tcPr>
    </w:tblStylePr>
    <w:tblStylePr w:type="lastRow">
      <w:rPr>
        <w:b/>
        <w:bCs/>
        <w:color w:val="775F55" w:themeColor="text2"/>
      </w:rPr>
      <w:tblPr/>
      <w:tcPr>
        <w:tcBorders>
          <w:top w:val="single" w:sz="8" w:space="0" w:color="DD8047" w:themeColor="accent2"/>
          <w:bottom w:val="single" w:sz="8" w:space="0" w:color="DD8047" w:themeColor="accent2"/>
        </w:tcBorders>
      </w:tcPr>
    </w:tblStylePr>
    <w:tblStylePr w:type="firstCol">
      <w:rPr>
        <w:b/>
        <w:bCs/>
      </w:rPr>
    </w:tblStylePr>
    <w:tblStylePr w:type="lastCol">
      <w:rPr>
        <w:b/>
        <w:bCs/>
      </w:rPr>
      <w:tblPr/>
      <w:tcPr>
        <w:tcBorders>
          <w:top w:val="single" w:sz="8" w:space="0" w:color="DD8047" w:themeColor="accent2"/>
          <w:bottom w:val="single" w:sz="8" w:space="0" w:color="DD8047" w:themeColor="accent2"/>
        </w:tcBorders>
      </w:tcPr>
    </w:tblStylePr>
    <w:tblStylePr w:type="band1Vert">
      <w:tblPr/>
      <w:tcPr>
        <w:shd w:val="clear" w:color="auto" w:fill="F6DFD1" w:themeFill="accent2" w:themeFillTint="3F"/>
      </w:tcPr>
    </w:tblStylePr>
    <w:tblStylePr w:type="band1Horz">
      <w:tblPr/>
      <w:tcPr>
        <w:shd w:val="clear" w:color="auto" w:fill="F6DFD1" w:themeFill="accent2" w:themeFillTint="3F"/>
      </w:tcPr>
    </w:tblStylePr>
  </w:style>
  <w:style w:type="table" w:styleId="MediumList1-Accent3">
    <w:name w:val="Medium List 1 Accent 3"/>
    <w:basedOn w:val="TableNormal"/>
    <w:uiPriority w:val="65"/>
    <w:semiHidden/>
    <w:unhideWhenUsed/>
    <w:rsid w:val="00EE4C8D"/>
    <w:rPr>
      <w:color w:val="000000" w:themeColor="text1"/>
    </w:rPr>
    <w:tblPr>
      <w:tblStyleRowBandSize w:val="1"/>
      <w:tblStyleColBandSize w:val="1"/>
      <w:tblBorders>
        <w:top w:val="single" w:sz="8" w:space="0" w:color="A5AB81" w:themeColor="accent3"/>
        <w:bottom w:val="single" w:sz="8" w:space="0" w:color="A5AB81" w:themeColor="accent3"/>
      </w:tblBorders>
    </w:tblPr>
    <w:tblStylePr w:type="firstRow">
      <w:rPr>
        <w:rFonts w:asciiTheme="majorHAnsi" w:eastAsiaTheme="majorEastAsia" w:hAnsiTheme="majorHAnsi" w:cstheme="majorBidi"/>
      </w:rPr>
      <w:tblPr/>
      <w:tcPr>
        <w:tcBorders>
          <w:top w:val="nil"/>
          <w:bottom w:val="single" w:sz="8" w:space="0" w:color="A5AB81" w:themeColor="accent3"/>
        </w:tcBorders>
      </w:tcPr>
    </w:tblStylePr>
    <w:tblStylePr w:type="lastRow">
      <w:rPr>
        <w:b/>
        <w:bCs/>
        <w:color w:val="775F55" w:themeColor="text2"/>
      </w:rPr>
      <w:tblPr/>
      <w:tcPr>
        <w:tcBorders>
          <w:top w:val="single" w:sz="8" w:space="0" w:color="A5AB81" w:themeColor="accent3"/>
          <w:bottom w:val="single" w:sz="8" w:space="0" w:color="A5AB81" w:themeColor="accent3"/>
        </w:tcBorders>
      </w:tcPr>
    </w:tblStylePr>
    <w:tblStylePr w:type="firstCol">
      <w:rPr>
        <w:b/>
        <w:bCs/>
      </w:rPr>
    </w:tblStylePr>
    <w:tblStylePr w:type="lastCol">
      <w:rPr>
        <w:b/>
        <w:bCs/>
      </w:rPr>
      <w:tblPr/>
      <w:tcPr>
        <w:tcBorders>
          <w:top w:val="single" w:sz="8" w:space="0" w:color="A5AB81" w:themeColor="accent3"/>
          <w:bottom w:val="single" w:sz="8" w:space="0" w:color="A5AB81" w:themeColor="accent3"/>
        </w:tcBorders>
      </w:tcPr>
    </w:tblStylePr>
    <w:tblStylePr w:type="band1Vert">
      <w:tblPr/>
      <w:tcPr>
        <w:shd w:val="clear" w:color="auto" w:fill="E8EADF" w:themeFill="accent3" w:themeFillTint="3F"/>
      </w:tcPr>
    </w:tblStylePr>
    <w:tblStylePr w:type="band1Horz">
      <w:tblPr/>
      <w:tcPr>
        <w:shd w:val="clear" w:color="auto" w:fill="E8EADF" w:themeFill="accent3" w:themeFillTint="3F"/>
      </w:tcPr>
    </w:tblStylePr>
  </w:style>
  <w:style w:type="table" w:styleId="MediumList1-Accent4">
    <w:name w:val="Medium List 1 Accent 4"/>
    <w:basedOn w:val="TableNormal"/>
    <w:uiPriority w:val="65"/>
    <w:semiHidden/>
    <w:unhideWhenUsed/>
    <w:rsid w:val="00EE4C8D"/>
    <w:rPr>
      <w:color w:val="000000" w:themeColor="text1"/>
    </w:rPr>
    <w:tblPr>
      <w:tblStyleRowBandSize w:val="1"/>
      <w:tblStyleColBandSize w:val="1"/>
      <w:tblBorders>
        <w:top w:val="single" w:sz="8" w:space="0" w:color="D8B25C" w:themeColor="accent4"/>
        <w:bottom w:val="single" w:sz="8" w:space="0" w:color="D8B25C" w:themeColor="accent4"/>
      </w:tblBorders>
    </w:tblPr>
    <w:tblStylePr w:type="firstRow">
      <w:rPr>
        <w:rFonts w:asciiTheme="majorHAnsi" w:eastAsiaTheme="majorEastAsia" w:hAnsiTheme="majorHAnsi" w:cstheme="majorBidi"/>
      </w:rPr>
      <w:tblPr/>
      <w:tcPr>
        <w:tcBorders>
          <w:top w:val="nil"/>
          <w:bottom w:val="single" w:sz="8" w:space="0" w:color="D8B25C" w:themeColor="accent4"/>
        </w:tcBorders>
      </w:tcPr>
    </w:tblStylePr>
    <w:tblStylePr w:type="lastRow">
      <w:rPr>
        <w:b/>
        <w:bCs/>
        <w:color w:val="775F55" w:themeColor="text2"/>
      </w:rPr>
      <w:tblPr/>
      <w:tcPr>
        <w:tcBorders>
          <w:top w:val="single" w:sz="8" w:space="0" w:color="D8B25C" w:themeColor="accent4"/>
          <w:bottom w:val="single" w:sz="8" w:space="0" w:color="D8B25C" w:themeColor="accent4"/>
        </w:tcBorders>
      </w:tcPr>
    </w:tblStylePr>
    <w:tblStylePr w:type="firstCol">
      <w:rPr>
        <w:b/>
        <w:bCs/>
      </w:rPr>
    </w:tblStylePr>
    <w:tblStylePr w:type="lastCol">
      <w:rPr>
        <w:b/>
        <w:bCs/>
      </w:rPr>
      <w:tblPr/>
      <w:tcPr>
        <w:tcBorders>
          <w:top w:val="single" w:sz="8" w:space="0" w:color="D8B25C" w:themeColor="accent4"/>
          <w:bottom w:val="single" w:sz="8" w:space="0" w:color="D8B25C" w:themeColor="accent4"/>
        </w:tcBorders>
      </w:tcPr>
    </w:tblStylePr>
    <w:tblStylePr w:type="band1Vert">
      <w:tblPr/>
      <w:tcPr>
        <w:shd w:val="clear" w:color="auto" w:fill="F5EBD6" w:themeFill="accent4" w:themeFillTint="3F"/>
      </w:tcPr>
    </w:tblStylePr>
    <w:tblStylePr w:type="band1Horz">
      <w:tblPr/>
      <w:tcPr>
        <w:shd w:val="clear" w:color="auto" w:fill="F5EBD6" w:themeFill="accent4" w:themeFillTint="3F"/>
      </w:tcPr>
    </w:tblStylePr>
  </w:style>
  <w:style w:type="table" w:styleId="MediumList1-Accent5">
    <w:name w:val="Medium List 1 Accent 5"/>
    <w:basedOn w:val="TableNormal"/>
    <w:uiPriority w:val="65"/>
    <w:semiHidden/>
    <w:unhideWhenUsed/>
    <w:rsid w:val="00EE4C8D"/>
    <w:rPr>
      <w:color w:val="000000" w:themeColor="text1"/>
    </w:rPr>
    <w:tblPr>
      <w:tblStyleRowBandSize w:val="1"/>
      <w:tblStyleColBandSize w:val="1"/>
      <w:tblBorders>
        <w:top w:val="single" w:sz="8" w:space="0" w:color="7BA79D" w:themeColor="accent5"/>
        <w:bottom w:val="single" w:sz="8" w:space="0" w:color="7BA79D" w:themeColor="accent5"/>
      </w:tblBorders>
    </w:tblPr>
    <w:tblStylePr w:type="firstRow">
      <w:rPr>
        <w:rFonts w:asciiTheme="majorHAnsi" w:eastAsiaTheme="majorEastAsia" w:hAnsiTheme="majorHAnsi" w:cstheme="majorBidi"/>
      </w:rPr>
      <w:tblPr/>
      <w:tcPr>
        <w:tcBorders>
          <w:top w:val="nil"/>
          <w:bottom w:val="single" w:sz="8" w:space="0" w:color="7BA79D" w:themeColor="accent5"/>
        </w:tcBorders>
      </w:tcPr>
    </w:tblStylePr>
    <w:tblStylePr w:type="lastRow">
      <w:rPr>
        <w:b/>
        <w:bCs/>
        <w:color w:val="775F55" w:themeColor="text2"/>
      </w:rPr>
      <w:tblPr/>
      <w:tcPr>
        <w:tcBorders>
          <w:top w:val="single" w:sz="8" w:space="0" w:color="7BA79D" w:themeColor="accent5"/>
          <w:bottom w:val="single" w:sz="8" w:space="0" w:color="7BA79D" w:themeColor="accent5"/>
        </w:tcBorders>
      </w:tcPr>
    </w:tblStylePr>
    <w:tblStylePr w:type="firstCol">
      <w:rPr>
        <w:b/>
        <w:bCs/>
      </w:rPr>
    </w:tblStylePr>
    <w:tblStylePr w:type="lastCol">
      <w:rPr>
        <w:b/>
        <w:bCs/>
      </w:rPr>
      <w:tblPr/>
      <w:tcPr>
        <w:tcBorders>
          <w:top w:val="single" w:sz="8" w:space="0" w:color="7BA79D" w:themeColor="accent5"/>
          <w:bottom w:val="single" w:sz="8" w:space="0" w:color="7BA79D" w:themeColor="accent5"/>
        </w:tcBorders>
      </w:tcPr>
    </w:tblStylePr>
    <w:tblStylePr w:type="band1Vert">
      <w:tblPr/>
      <w:tcPr>
        <w:shd w:val="clear" w:color="auto" w:fill="DEE9E6" w:themeFill="accent5" w:themeFillTint="3F"/>
      </w:tcPr>
    </w:tblStylePr>
    <w:tblStylePr w:type="band1Horz">
      <w:tblPr/>
      <w:tcPr>
        <w:shd w:val="clear" w:color="auto" w:fill="DEE9E6" w:themeFill="accent5" w:themeFillTint="3F"/>
      </w:tcPr>
    </w:tblStylePr>
  </w:style>
  <w:style w:type="table" w:styleId="MediumList1-Accent6">
    <w:name w:val="Medium List 1 Accent 6"/>
    <w:basedOn w:val="TableNormal"/>
    <w:uiPriority w:val="65"/>
    <w:semiHidden/>
    <w:unhideWhenUsed/>
    <w:rsid w:val="00EE4C8D"/>
    <w:rPr>
      <w:color w:val="000000" w:themeColor="text1"/>
    </w:rPr>
    <w:tblPr>
      <w:tblStyleRowBandSize w:val="1"/>
      <w:tblStyleColBandSize w:val="1"/>
      <w:tblBorders>
        <w:top w:val="single" w:sz="8" w:space="0" w:color="968C8C" w:themeColor="accent6"/>
        <w:bottom w:val="single" w:sz="8" w:space="0" w:color="968C8C" w:themeColor="accent6"/>
      </w:tblBorders>
    </w:tblPr>
    <w:tblStylePr w:type="firstRow">
      <w:rPr>
        <w:rFonts w:asciiTheme="majorHAnsi" w:eastAsiaTheme="majorEastAsia" w:hAnsiTheme="majorHAnsi" w:cstheme="majorBidi"/>
      </w:rPr>
      <w:tblPr/>
      <w:tcPr>
        <w:tcBorders>
          <w:top w:val="nil"/>
          <w:bottom w:val="single" w:sz="8" w:space="0" w:color="968C8C" w:themeColor="accent6"/>
        </w:tcBorders>
      </w:tcPr>
    </w:tblStylePr>
    <w:tblStylePr w:type="lastRow">
      <w:rPr>
        <w:b/>
        <w:bCs/>
        <w:color w:val="775F55" w:themeColor="text2"/>
      </w:rPr>
      <w:tblPr/>
      <w:tcPr>
        <w:tcBorders>
          <w:top w:val="single" w:sz="8" w:space="0" w:color="968C8C" w:themeColor="accent6"/>
          <w:bottom w:val="single" w:sz="8" w:space="0" w:color="968C8C" w:themeColor="accent6"/>
        </w:tcBorders>
      </w:tcPr>
    </w:tblStylePr>
    <w:tblStylePr w:type="firstCol">
      <w:rPr>
        <w:b/>
        <w:bCs/>
      </w:rPr>
    </w:tblStylePr>
    <w:tblStylePr w:type="lastCol">
      <w:rPr>
        <w:b/>
        <w:bCs/>
      </w:rPr>
      <w:tblPr/>
      <w:tcPr>
        <w:tcBorders>
          <w:top w:val="single" w:sz="8" w:space="0" w:color="968C8C" w:themeColor="accent6"/>
          <w:bottom w:val="single" w:sz="8" w:space="0" w:color="968C8C" w:themeColor="accent6"/>
        </w:tcBorders>
      </w:tcPr>
    </w:tblStylePr>
    <w:tblStylePr w:type="band1Vert">
      <w:tblPr/>
      <w:tcPr>
        <w:shd w:val="clear" w:color="auto" w:fill="E5E2E2" w:themeFill="accent6" w:themeFillTint="3F"/>
      </w:tcPr>
    </w:tblStylePr>
    <w:tblStylePr w:type="band1Horz">
      <w:tblPr/>
      <w:tcPr>
        <w:shd w:val="clear" w:color="auto" w:fill="E5E2E2" w:themeFill="accent6" w:themeFillTint="3F"/>
      </w:tcPr>
    </w:tblStylePr>
  </w:style>
  <w:style w:type="table" w:styleId="MediumList2">
    <w:name w:val="Medium List 2"/>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rPr>
        <w:sz w:val="24"/>
        <w:szCs w:val="24"/>
      </w:rPr>
      <w:tblPr/>
      <w:tcPr>
        <w:tcBorders>
          <w:top w:val="nil"/>
          <w:left w:val="nil"/>
          <w:bottom w:val="single" w:sz="24" w:space="0" w:color="94B6D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6D2" w:themeColor="accent1"/>
          <w:insideH w:val="nil"/>
          <w:insideV w:val="nil"/>
        </w:tcBorders>
        <w:shd w:val="clear" w:color="auto" w:fill="FFFFFF" w:themeFill="background1"/>
      </w:tcPr>
    </w:tblStylePr>
    <w:tblStylePr w:type="lastCol">
      <w:tblPr/>
      <w:tcPr>
        <w:tcBorders>
          <w:top w:val="nil"/>
          <w:left w:val="single" w:sz="8" w:space="0" w:color="94B6D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top w:val="nil"/>
          <w:bottom w:val="nil"/>
          <w:insideH w:val="nil"/>
          <w:insideV w:val="nil"/>
        </w:tcBorders>
        <w:shd w:val="clear" w:color="auto" w:fill="E4EC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rPr>
        <w:sz w:val="24"/>
        <w:szCs w:val="24"/>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8047" w:themeColor="accent2"/>
          <w:insideH w:val="nil"/>
          <w:insideV w:val="nil"/>
        </w:tcBorders>
        <w:shd w:val="clear" w:color="auto" w:fill="FFFFFF" w:themeFill="background1"/>
      </w:tcPr>
    </w:tblStylePr>
    <w:tblStylePr w:type="lastCol">
      <w:tblPr/>
      <w:tcPr>
        <w:tcBorders>
          <w:top w:val="nil"/>
          <w:left w:val="single" w:sz="8" w:space="0" w:color="DD80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top w:val="nil"/>
          <w:bottom w:val="nil"/>
          <w:insideH w:val="nil"/>
          <w:insideV w:val="nil"/>
        </w:tcBorders>
        <w:shd w:val="clear" w:color="auto" w:fill="F6DF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rPr>
        <w:sz w:val="24"/>
        <w:szCs w:val="24"/>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B81" w:themeColor="accent3"/>
          <w:insideH w:val="nil"/>
          <w:insideV w:val="nil"/>
        </w:tcBorders>
        <w:shd w:val="clear" w:color="auto" w:fill="FFFFFF" w:themeFill="background1"/>
      </w:tcPr>
    </w:tblStylePr>
    <w:tblStylePr w:type="lastCol">
      <w:tblPr/>
      <w:tcPr>
        <w:tcBorders>
          <w:top w:val="nil"/>
          <w:left w:val="single" w:sz="8" w:space="0" w:color="A5AB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top w:val="nil"/>
          <w:bottom w:val="nil"/>
          <w:insideH w:val="nil"/>
          <w:insideV w:val="nil"/>
        </w:tcBorders>
        <w:shd w:val="clear" w:color="auto" w:fill="E8EA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rPr>
        <w:sz w:val="24"/>
        <w:szCs w:val="24"/>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B25C" w:themeColor="accent4"/>
          <w:insideH w:val="nil"/>
          <w:insideV w:val="nil"/>
        </w:tcBorders>
        <w:shd w:val="clear" w:color="auto" w:fill="FFFFFF" w:themeFill="background1"/>
      </w:tcPr>
    </w:tblStylePr>
    <w:tblStylePr w:type="lastCol">
      <w:tblPr/>
      <w:tcPr>
        <w:tcBorders>
          <w:top w:val="nil"/>
          <w:left w:val="single" w:sz="8" w:space="0" w:color="D8B25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top w:val="nil"/>
          <w:bottom w:val="nil"/>
          <w:insideH w:val="nil"/>
          <w:insideV w:val="nil"/>
        </w:tcBorders>
        <w:shd w:val="clear" w:color="auto" w:fill="F5EB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rPr>
        <w:sz w:val="24"/>
        <w:szCs w:val="24"/>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C" w:themeColor="accent6"/>
          <w:insideH w:val="nil"/>
          <w:insideV w:val="nil"/>
        </w:tcBorders>
        <w:shd w:val="clear" w:color="auto" w:fill="FFFFFF" w:themeFill="background1"/>
      </w:tcPr>
    </w:tblStylePr>
    <w:tblStylePr w:type="lastCol">
      <w:tblPr/>
      <w:tcPr>
        <w:tcBorders>
          <w:top w:val="nil"/>
          <w:left w:val="single" w:sz="8" w:space="0" w:color="968C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top w:val="nil"/>
          <w:bottom w:val="nil"/>
          <w:insideH w:val="nil"/>
          <w:insideV w:val="nil"/>
        </w:tcBorders>
        <w:shd w:val="clear" w:color="auto" w:fill="E5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E4C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4C8D"/>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E4C8D"/>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tblBorders>
    </w:tblPr>
    <w:tblStylePr w:type="firstRow">
      <w:pPr>
        <w:spacing w:before="0" w:after="0" w:line="240" w:lineRule="auto"/>
      </w:pPr>
      <w:rPr>
        <w:b/>
        <w:bCs/>
        <w:color w:val="FFFFFF" w:themeColor="background1"/>
      </w:rPr>
      <w:tblPr/>
      <w:tcPr>
        <w:tc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shd w:val="clear" w:color="auto" w:fill="DD8047" w:themeFill="accent2"/>
      </w:tcPr>
    </w:tblStylePr>
    <w:tblStylePr w:type="lastRow">
      <w:pPr>
        <w:spacing w:before="0" w:after="0" w:line="240" w:lineRule="auto"/>
      </w:pPr>
      <w:rPr>
        <w:b/>
        <w:bCs/>
      </w:rPr>
      <w:tblPr/>
      <w:tcPr>
        <w:tcBorders>
          <w:top w:val="double" w:sz="6"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FD1" w:themeFill="accent2" w:themeFillTint="3F"/>
      </w:tcPr>
    </w:tblStylePr>
    <w:tblStylePr w:type="band1Horz">
      <w:tblPr/>
      <w:tcPr>
        <w:tcBorders>
          <w:insideH w:val="nil"/>
          <w:insideV w:val="nil"/>
        </w:tcBorders>
        <w:shd w:val="clear" w:color="auto" w:fill="F6DF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E4C8D"/>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tblBorders>
    </w:tblPr>
    <w:tblStylePr w:type="firstRow">
      <w:pPr>
        <w:spacing w:before="0" w:after="0" w:line="240" w:lineRule="auto"/>
      </w:pPr>
      <w:rPr>
        <w:b/>
        <w:bCs/>
        <w:color w:val="FFFFFF" w:themeColor="background1"/>
      </w:rPr>
      <w:tblPr/>
      <w:tcPr>
        <w:tc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shd w:val="clear" w:color="auto" w:fill="A5AB81" w:themeFill="accent3"/>
      </w:tcPr>
    </w:tblStylePr>
    <w:tblStylePr w:type="lastRow">
      <w:pPr>
        <w:spacing w:before="0" w:after="0" w:line="240" w:lineRule="auto"/>
      </w:pPr>
      <w:rPr>
        <w:b/>
        <w:bCs/>
      </w:rPr>
      <w:tblPr/>
      <w:tcPr>
        <w:tcBorders>
          <w:top w:val="double" w:sz="6"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ADF" w:themeFill="accent3" w:themeFillTint="3F"/>
      </w:tcPr>
    </w:tblStylePr>
    <w:tblStylePr w:type="band1Horz">
      <w:tblPr/>
      <w:tcPr>
        <w:tcBorders>
          <w:insideH w:val="nil"/>
          <w:insideV w:val="nil"/>
        </w:tcBorders>
        <w:shd w:val="clear" w:color="auto" w:fill="E8EA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E4C8D"/>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tblBorders>
    </w:tblPr>
    <w:tblStylePr w:type="firstRow">
      <w:pPr>
        <w:spacing w:before="0" w:after="0" w:line="240" w:lineRule="auto"/>
      </w:pPr>
      <w:rPr>
        <w:b/>
        <w:bCs/>
        <w:color w:val="FFFFFF" w:themeColor="background1"/>
      </w:rPr>
      <w:tblPr/>
      <w:tcPr>
        <w:tc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shd w:val="clear" w:color="auto" w:fill="D8B25C" w:themeFill="accent4"/>
      </w:tcPr>
    </w:tblStylePr>
    <w:tblStylePr w:type="lastRow">
      <w:pPr>
        <w:spacing w:before="0" w:after="0" w:line="240" w:lineRule="auto"/>
      </w:pPr>
      <w:rPr>
        <w:b/>
        <w:bCs/>
      </w:rPr>
      <w:tblPr/>
      <w:tcPr>
        <w:tcBorders>
          <w:top w:val="double" w:sz="6"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EBD6" w:themeFill="accent4" w:themeFillTint="3F"/>
      </w:tcPr>
    </w:tblStylePr>
    <w:tblStylePr w:type="band1Horz">
      <w:tblPr/>
      <w:tcPr>
        <w:tcBorders>
          <w:insideH w:val="nil"/>
          <w:insideV w:val="nil"/>
        </w:tcBorders>
        <w:shd w:val="clear" w:color="auto" w:fill="F5EB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E4C8D"/>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tblBorders>
    </w:tblPr>
    <w:tblStylePr w:type="firstRow">
      <w:pPr>
        <w:spacing w:before="0" w:after="0" w:line="240" w:lineRule="auto"/>
      </w:pPr>
      <w:rPr>
        <w:b/>
        <w:bCs/>
        <w:color w:val="FFFFFF" w:themeColor="background1"/>
      </w:rPr>
      <w:tblPr/>
      <w:tcPr>
        <w:tc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shd w:val="clear" w:color="auto" w:fill="7BA79D" w:themeFill="accent5"/>
      </w:tcPr>
    </w:tblStylePr>
    <w:tblStylePr w:type="lastRow">
      <w:pPr>
        <w:spacing w:before="0" w:after="0" w:line="240" w:lineRule="auto"/>
      </w:pPr>
      <w:rPr>
        <w:b/>
        <w:bCs/>
      </w:rPr>
      <w:tblPr/>
      <w:tcPr>
        <w:tcBorders>
          <w:top w:val="double" w:sz="6"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9E6" w:themeFill="accent5" w:themeFillTint="3F"/>
      </w:tcPr>
    </w:tblStylePr>
    <w:tblStylePr w:type="band1Horz">
      <w:tblPr/>
      <w:tcPr>
        <w:tcBorders>
          <w:insideH w:val="nil"/>
          <w:insideV w:val="nil"/>
        </w:tcBorders>
        <w:shd w:val="clear" w:color="auto" w:fill="DEE9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E4C8D"/>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tblBorders>
    </w:tblPr>
    <w:tblStylePr w:type="firstRow">
      <w:pPr>
        <w:spacing w:before="0" w:after="0" w:line="240" w:lineRule="auto"/>
      </w:pPr>
      <w:rPr>
        <w:b/>
        <w:bCs/>
        <w:color w:val="FFFFFF" w:themeColor="background1"/>
      </w:rPr>
      <w:tblPr/>
      <w:tcPr>
        <w:tc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shd w:val="clear" w:color="auto" w:fill="968C8C" w:themeFill="accent6"/>
      </w:tcPr>
    </w:tblStylePr>
    <w:tblStylePr w:type="lastRow">
      <w:pPr>
        <w:spacing w:before="0" w:after="0" w:line="240" w:lineRule="auto"/>
      </w:pPr>
      <w:rPr>
        <w:b/>
        <w:bCs/>
      </w:rPr>
      <w:tblPr/>
      <w:tcPr>
        <w:tcBorders>
          <w:top w:val="double" w:sz="6"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6" w:themeFillTint="3F"/>
      </w:tcPr>
    </w:tblStylePr>
    <w:tblStylePr w:type="band1Horz">
      <w:tblPr/>
      <w:tcPr>
        <w:tcBorders>
          <w:insideH w:val="nil"/>
          <w:insideV w:val="nil"/>
        </w:tcBorders>
        <w:shd w:val="clear" w:color="auto" w:fill="E5E2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80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8047" w:themeFill="accent2"/>
      </w:tcPr>
    </w:tblStylePr>
    <w:tblStylePr w:type="lastCol">
      <w:rPr>
        <w:b/>
        <w:bCs/>
        <w:color w:val="FFFFFF" w:themeColor="background1"/>
      </w:rPr>
      <w:tblPr/>
      <w:tcPr>
        <w:tcBorders>
          <w:left w:val="nil"/>
          <w:right w:val="nil"/>
          <w:insideH w:val="nil"/>
          <w:insideV w:val="nil"/>
        </w:tcBorders>
        <w:shd w:val="clear" w:color="auto" w:fill="DD80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B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B81" w:themeFill="accent3"/>
      </w:tcPr>
    </w:tblStylePr>
    <w:tblStylePr w:type="lastCol">
      <w:rPr>
        <w:b/>
        <w:bCs/>
        <w:color w:val="FFFFFF" w:themeColor="background1"/>
      </w:rPr>
      <w:tblPr/>
      <w:tcPr>
        <w:tcBorders>
          <w:left w:val="nil"/>
          <w:right w:val="nil"/>
          <w:insideH w:val="nil"/>
          <w:insideV w:val="nil"/>
        </w:tcBorders>
        <w:shd w:val="clear" w:color="auto" w:fill="A5AB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B25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B25C" w:themeFill="accent4"/>
      </w:tcPr>
    </w:tblStylePr>
    <w:tblStylePr w:type="lastCol">
      <w:rPr>
        <w:b/>
        <w:bCs/>
        <w:color w:val="FFFFFF" w:themeColor="background1"/>
      </w:rPr>
      <w:tblPr/>
      <w:tcPr>
        <w:tcBorders>
          <w:left w:val="nil"/>
          <w:right w:val="nil"/>
          <w:insideH w:val="nil"/>
          <w:insideV w:val="nil"/>
        </w:tcBorders>
        <w:shd w:val="clear" w:color="auto" w:fill="D8B25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A7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BA79D" w:themeFill="accent5"/>
      </w:tcPr>
    </w:tblStylePr>
    <w:tblStylePr w:type="lastCol">
      <w:rPr>
        <w:b/>
        <w:bCs/>
        <w:color w:val="FFFFFF" w:themeColor="background1"/>
      </w:rPr>
      <w:tblPr/>
      <w:tcPr>
        <w:tcBorders>
          <w:left w:val="nil"/>
          <w:right w:val="nil"/>
          <w:insideH w:val="nil"/>
          <w:insideV w:val="nil"/>
        </w:tcBorders>
        <w:shd w:val="clear" w:color="auto" w:fill="7BA7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8C8C" w:themeFill="accent6"/>
      </w:tcPr>
    </w:tblStylePr>
    <w:tblStylePr w:type="lastCol">
      <w:rPr>
        <w:b/>
        <w:bCs/>
        <w:color w:val="FFFFFF" w:themeColor="background1"/>
      </w:rPr>
      <w:tblPr/>
      <w:tcPr>
        <w:tcBorders>
          <w:left w:val="nil"/>
          <w:right w:val="nil"/>
          <w:insideH w:val="nil"/>
          <w:insideV w:val="nil"/>
        </w:tcBorders>
        <w:shd w:val="clear" w:color="auto" w:fill="968C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E4C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E4C8D"/>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MediumGrid1-Accent2">
    <w:name w:val="Medium Grid 1 Accent 2"/>
    <w:basedOn w:val="TableNormal"/>
    <w:uiPriority w:val="67"/>
    <w:semiHidden/>
    <w:unhideWhenUsed/>
    <w:rsid w:val="00EE4C8D"/>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insideV w:val="single" w:sz="8" w:space="0" w:color="E59F75" w:themeColor="accent2" w:themeTint="BF"/>
      </w:tblBorders>
    </w:tblPr>
    <w:tcPr>
      <w:shd w:val="clear" w:color="auto" w:fill="F6DFD1" w:themeFill="accent2" w:themeFillTint="3F"/>
    </w:tcPr>
    <w:tblStylePr w:type="firstRow">
      <w:rPr>
        <w:b/>
        <w:bCs/>
      </w:rPr>
    </w:tblStylePr>
    <w:tblStylePr w:type="lastRow">
      <w:rPr>
        <w:b/>
        <w:bCs/>
      </w:rPr>
      <w:tblPr/>
      <w:tcPr>
        <w:tcBorders>
          <w:top w:val="single" w:sz="18" w:space="0" w:color="E59F75" w:themeColor="accent2" w:themeTint="BF"/>
        </w:tcBorders>
      </w:tcPr>
    </w:tblStylePr>
    <w:tblStylePr w:type="firstCol">
      <w:rPr>
        <w:b/>
        <w:bCs/>
      </w:rPr>
    </w:tblStylePr>
    <w:tblStylePr w:type="lastCol">
      <w:rPr>
        <w:b/>
        <w:bCs/>
      </w:r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MediumGrid1-Accent3">
    <w:name w:val="Medium Grid 1 Accent 3"/>
    <w:basedOn w:val="TableNormal"/>
    <w:uiPriority w:val="67"/>
    <w:semiHidden/>
    <w:unhideWhenUsed/>
    <w:rsid w:val="00EE4C8D"/>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insideV w:val="single" w:sz="8" w:space="0" w:color="BBC0A0" w:themeColor="accent3" w:themeTint="BF"/>
      </w:tblBorders>
    </w:tblPr>
    <w:tcPr>
      <w:shd w:val="clear" w:color="auto" w:fill="E8EADF" w:themeFill="accent3" w:themeFillTint="3F"/>
    </w:tcPr>
    <w:tblStylePr w:type="firstRow">
      <w:rPr>
        <w:b/>
        <w:bCs/>
      </w:rPr>
    </w:tblStylePr>
    <w:tblStylePr w:type="lastRow">
      <w:rPr>
        <w:b/>
        <w:bCs/>
      </w:rPr>
      <w:tblPr/>
      <w:tcPr>
        <w:tcBorders>
          <w:top w:val="single" w:sz="18" w:space="0" w:color="BBC0A0" w:themeColor="accent3" w:themeTint="BF"/>
        </w:tcBorders>
      </w:tcPr>
    </w:tblStylePr>
    <w:tblStylePr w:type="firstCol">
      <w:rPr>
        <w:b/>
        <w:bCs/>
      </w:rPr>
    </w:tblStylePr>
    <w:tblStylePr w:type="lastCol">
      <w:rPr>
        <w:b/>
        <w:bCs/>
      </w:r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MediumGrid1-Accent4">
    <w:name w:val="Medium Grid 1 Accent 4"/>
    <w:basedOn w:val="TableNormal"/>
    <w:uiPriority w:val="67"/>
    <w:semiHidden/>
    <w:unhideWhenUsed/>
    <w:rsid w:val="00EE4C8D"/>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insideV w:val="single" w:sz="8" w:space="0" w:color="E1C584" w:themeColor="accent4" w:themeTint="BF"/>
      </w:tblBorders>
    </w:tblPr>
    <w:tcPr>
      <w:shd w:val="clear" w:color="auto" w:fill="F5EBD6" w:themeFill="accent4" w:themeFillTint="3F"/>
    </w:tcPr>
    <w:tblStylePr w:type="firstRow">
      <w:rPr>
        <w:b/>
        <w:bCs/>
      </w:rPr>
    </w:tblStylePr>
    <w:tblStylePr w:type="lastRow">
      <w:rPr>
        <w:b/>
        <w:bCs/>
      </w:rPr>
      <w:tblPr/>
      <w:tcPr>
        <w:tcBorders>
          <w:top w:val="single" w:sz="18" w:space="0" w:color="E1C584" w:themeColor="accent4" w:themeTint="BF"/>
        </w:tcBorders>
      </w:tcPr>
    </w:tblStylePr>
    <w:tblStylePr w:type="firstCol">
      <w:rPr>
        <w:b/>
        <w:bCs/>
      </w:rPr>
    </w:tblStylePr>
    <w:tblStylePr w:type="lastCol">
      <w:rPr>
        <w:b/>
        <w:bCs/>
      </w:r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MediumGrid1-Accent5">
    <w:name w:val="Medium Grid 1 Accent 5"/>
    <w:basedOn w:val="TableNormal"/>
    <w:uiPriority w:val="67"/>
    <w:semiHidden/>
    <w:unhideWhenUsed/>
    <w:rsid w:val="00EE4C8D"/>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insideV w:val="single" w:sz="8" w:space="0" w:color="9CBDB5" w:themeColor="accent5" w:themeTint="BF"/>
      </w:tblBorders>
    </w:tblPr>
    <w:tcPr>
      <w:shd w:val="clear" w:color="auto" w:fill="DEE9E6" w:themeFill="accent5" w:themeFillTint="3F"/>
    </w:tcPr>
    <w:tblStylePr w:type="firstRow">
      <w:rPr>
        <w:b/>
        <w:bCs/>
      </w:rPr>
    </w:tblStylePr>
    <w:tblStylePr w:type="lastRow">
      <w:rPr>
        <w:b/>
        <w:bCs/>
      </w:rPr>
      <w:tblPr/>
      <w:tcPr>
        <w:tcBorders>
          <w:top w:val="single" w:sz="18" w:space="0" w:color="9CBDB5" w:themeColor="accent5" w:themeTint="BF"/>
        </w:tcBorders>
      </w:tcPr>
    </w:tblStylePr>
    <w:tblStylePr w:type="firstCol">
      <w:rPr>
        <w:b/>
        <w:bCs/>
      </w:rPr>
    </w:tblStylePr>
    <w:tblStylePr w:type="lastCol">
      <w:rPr>
        <w:b/>
        <w:bCs/>
      </w:r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MediumGrid1-Accent6">
    <w:name w:val="Medium Grid 1 Accent 6"/>
    <w:basedOn w:val="TableNormal"/>
    <w:uiPriority w:val="67"/>
    <w:semiHidden/>
    <w:unhideWhenUsed/>
    <w:rsid w:val="00EE4C8D"/>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insideV w:val="single" w:sz="8" w:space="0" w:color="B0A8A8" w:themeColor="accent6" w:themeTint="BF"/>
      </w:tblBorders>
    </w:tblPr>
    <w:tcPr>
      <w:shd w:val="clear" w:color="auto" w:fill="E5E2E2" w:themeFill="accent6" w:themeFillTint="3F"/>
    </w:tcPr>
    <w:tblStylePr w:type="firstRow">
      <w:rPr>
        <w:b/>
        <w:bCs/>
      </w:rPr>
    </w:tblStylePr>
    <w:tblStylePr w:type="lastRow">
      <w:rPr>
        <w:b/>
        <w:bCs/>
      </w:rPr>
      <w:tblPr/>
      <w:tcPr>
        <w:tcBorders>
          <w:top w:val="single" w:sz="18" w:space="0" w:color="B0A8A8" w:themeColor="accent6" w:themeTint="BF"/>
        </w:tcBorders>
      </w:tcPr>
    </w:tblStylePr>
    <w:tblStylePr w:type="firstCol">
      <w:rPr>
        <w:b/>
        <w:bCs/>
      </w:rPr>
    </w:tblStylePr>
    <w:tblStylePr w:type="lastCol">
      <w:rPr>
        <w:b/>
        <w:bCs/>
      </w:r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MediumGrid2">
    <w:name w:val="Medium Grid 2"/>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cPr>
      <w:shd w:val="clear" w:color="auto" w:fill="E4ECF4" w:themeFill="accent1" w:themeFillTint="3F"/>
    </w:tcPr>
    <w:tblStylePr w:type="firstRow">
      <w:rPr>
        <w:b/>
        <w:bCs/>
        <w:color w:val="000000" w:themeColor="text1"/>
      </w:rPr>
      <w:tblPr/>
      <w:tcPr>
        <w:shd w:val="clear" w:color="auto" w:fill="F4F7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0F6" w:themeFill="accent1" w:themeFillTint="33"/>
      </w:tcPr>
    </w:tblStylePr>
    <w:tblStylePr w:type="band1Vert">
      <w:tblPr/>
      <w:tcPr>
        <w:shd w:val="clear" w:color="auto" w:fill="C9DAE8" w:themeFill="accent1" w:themeFillTint="7F"/>
      </w:tcPr>
    </w:tblStylePr>
    <w:tblStylePr w:type="band1Horz">
      <w:tblPr/>
      <w:tcPr>
        <w:tcBorders>
          <w:insideH w:val="single" w:sz="6" w:space="0" w:color="94B6D2" w:themeColor="accent1"/>
          <w:insideV w:val="single" w:sz="6" w:space="0" w:color="94B6D2" w:themeColor="accent1"/>
        </w:tcBorders>
        <w:shd w:val="clear" w:color="auto" w:fill="C9DA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cPr>
      <w:shd w:val="clear" w:color="auto" w:fill="F6DFD1" w:themeFill="accent2" w:themeFillTint="3F"/>
    </w:tcPr>
    <w:tblStylePr w:type="firstRow">
      <w:rPr>
        <w:b/>
        <w:bCs/>
        <w:color w:val="000000" w:themeColor="text1"/>
      </w:rPr>
      <w:tblPr/>
      <w:tcPr>
        <w:shd w:val="clear" w:color="auto" w:fill="FBF2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5DA" w:themeFill="accent2" w:themeFillTint="33"/>
      </w:tcPr>
    </w:tblStylePr>
    <w:tblStylePr w:type="band1Vert">
      <w:tblPr/>
      <w:tcPr>
        <w:shd w:val="clear" w:color="auto" w:fill="EEBFA3" w:themeFill="accent2" w:themeFillTint="7F"/>
      </w:tcPr>
    </w:tblStylePr>
    <w:tblStylePr w:type="band1Horz">
      <w:tblPr/>
      <w:tcPr>
        <w:tcBorders>
          <w:insideH w:val="single" w:sz="6" w:space="0" w:color="DD8047" w:themeColor="accent2"/>
          <w:insideV w:val="single" w:sz="6" w:space="0" w:color="DD8047" w:themeColor="accent2"/>
        </w:tcBorders>
        <w:shd w:val="clear" w:color="auto" w:fill="EEBF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cPr>
      <w:shd w:val="clear" w:color="auto" w:fill="E8EADF" w:themeFill="accent3" w:themeFillTint="3F"/>
    </w:tcPr>
    <w:tblStylePr w:type="firstRow">
      <w:rPr>
        <w:b/>
        <w:bCs/>
        <w:color w:val="000000" w:themeColor="text1"/>
      </w:rPr>
      <w:tblPr/>
      <w:tcPr>
        <w:shd w:val="clear" w:color="auto" w:fill="F6F6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E5" w:themeFill="accent3" w:themeFillTint="33"/>
      </w:tcPr>
    </w:tblStylePr>
    <w:tblStylePr w:type="band1Vert">
      <w:tblPr/>
      <w:tcPr>
        <w:shd w:val="clear" w:color="auto" w:fill="D2D5C0" w:themeFill="accent3" w:themeFillTint="7F"/>
      </w:tcPr>
    </w:tblStylePr>
    <w:tblStylePr w:type="band1Horz">
      <w:tblPr/>
      <w:tcPr>
        <w:tcBorders>
          <w:insideH w:val="single" w:sz="6" w:space="0" w:color="A5AB81" w:themeColor="accent3"/>
          <w:insideV w:val="single" w:sz="6" w:space="0" w:color="A5AB81" w:themeColor="accent3"/>
        </w:tcBorders>
        <w:shd w:val="clear" w:color="auto" w:fill="D2D5C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cPr>
      <w:shd w:val="clear" w:color="auto" w:fill="F5EBD6" w:themeFill="accent4" w:themeFillTint="3F"/>
    </w:tcPr>
    <w:tblStylePr w:type="firstRow">
      <w:rPr>
        <w:b/>
        <w:bCs/>
        <w:color w:val="000000" w:themeColor="text1"/>
      </w:rPr>
      <w:tblPr/>
      <w:tcPr>
        <w:shd w:val="clear" w:color="auto" w:fill="FBF7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FDE" w:themeFill="accent4" w:themeFillTint="33"/>
      </w:tcPr>
    </w:tblStylePr>
    <w:tblStylePr w:type="band1Vert">
      <w:tblPr/>
      <w:tcPr>
        <w:shd w:val="clear" w:color="auto" w:fill="EBD8AD" w:themeFill="accent4" w:themeFillTint="7F"/>
      </w:tcPr>
    </w:tblStylePr>
    <w:tblStylePr w:type="band1Horz">
      <w:tblPr/>
      <w:tcPr>
        <w:tcBorders>
          <w:insideH w:val="single" w:sz="6" w:space="0" w:color="D8B25C" w:themeColor="accent4"/>
          <w:insideV w:val="single" w:sz="6" w:space="0" w:color="D8B25C" w:themeColor="accent4"/>
        </w:tcBorders>
        <w:shd w:val="clear" w:color="auto" w:fill="EBD8A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cPr>
      <w:shd w:val="clear" w:color="auto" w:fill="DEE9E6" w:themeFill="accent5" w:themeFillTint="3F"/>
    </w:tcPr>
    <w:tblStylePr w:type="firstRow">
      <w:rPr>
        <w:b/>
        <w:bCs/>
        <w:color w:val="000000" w:themeColor="text1"/>
      </w:rPr>
      <w:tblPr/>
      <w:tcPr>
        <w:shd w:val="clear" w:color="auto" w:fill="F2F6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DEB" w:themeFill="accent5" w:themeFillTint="33"/>
      </w:tcPr>
    </w:tblStylePr>
    <w:tblStylePr w:type="band1Vert">
      <w:tblPr/>
      <w:tcPr>
        <w:shd w:val="clear" w:color="auto" w:fill="BDD3CE" w:themeFill="accent5" w:themeFillTint="7F"/>
      </w:tcPr>
    </w:tblStylePr>
    <w:tblStylePr w:type="band1Horz">
      <w:tblPr/>
      <w:tcPr>
        <w:tcBorders>
          <w:insideH w:val="single" w:sz="6" w:space="0" w:color="7BA79D" w:themeColor="accent5"/>
          <w:insideV w:val="single" w:sz="6" w:space="0" w:color="7BA79D" w:themeColor="accent5"/>
        </w:tcBorders>
        <w:shd w:val="clear" w:color="auto" w:fill="BDD3C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cPr>
      <w:shd w:val="clear" w:color="auto" w:fill="E5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8" w:themeFill="accent6" w:themeFillTint="33"/>
      </w:tcPr>
    </w:tblStylePr>
    <w:tblStylePr w:type="band1Vert">
      <w:tblPr/>
      <w:tcPr>
        <w:shd w:val="clear" w:color="auto" w:fill="CAC5C5" w:themeFill="accent6" w:themeFillTint="7F"/>
      </w:tcPr>
    </w:tblStylePr>
    <w:tblStylePr w:type="band1Horz">
      <w:tblPr/>
      <w:tcPr>
        <w:tcBorders>
          <w:insideH w:val="single" w:sz="6" w:space="0" w:color="968C8C" w:themeColor="accent6"/>
          <w:insideV w:val="single" w:sz="6" w:space="0" w:color="968C8C" w:themeColor="accent6"/>
        </w:tcBorders>
        <w:shd w:val="clear" w:color="auto" w:fill="CAC5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C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6D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6D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A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AE8" w:themeFill="accent1" w:themeFillTint="7F"/>
      </w:tcPr>
    </w:tblStylePr>
  </w:style>
  <w:style w:type="table" w:styleId="MediumGrid3-Accent2">
    <w:name w:val="Medium Grid 3 Accent 2"/>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F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80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80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BF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BFA3" w:themeFill="accent2" w:themeFillTint="7F"/>
      </w:tcPr>
    </w:tblStylePr>
  </w:style>
  <w:style w:type="table" w:styleId="MediumGrid3-Accent3">
    <w:name w:val="Medium Grid 3 Accent 3"/>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A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B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B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5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5C0" w:themeFill="accent3" w:themeFillTint="7F"/>
      </w:tcPr>
    </w:tblStylePr>
  </w:style>
  <w:style w:type="table" w:styleId="MediumGrid3-Accent4">
    <w:name w:val="Medium Grid 3 Accent 4"/>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EB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B25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B25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D8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D8AD" w:themeFill="accent4" w:themeFillTint="7F"/>
      </w:tcPr>
    </w:tblStylePr>
  </w:style>
  <w:style w:type="table" w:styleId="MediumGrid3-Accent5">
    <w:name w:val="Medium Grid 3 Accent 5"/>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9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A7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A7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3C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3CE" w:themeFill="accent5" w:themeFillTint="7F"/>
      </w:tcPr>
    </w:tblStylePr>
  </w:style>
  <w:style w:type="table" w:styleId="MediumGrid3-Accent6">
    <w:name w:val="Medium Grid 3 Accent 6"/>
    <w:basedOn w:val="Table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paragraph" w:styleId="Bibliography">
    <w:name w:val="Bibliography"/>
    <w:basedOn w:val="Normal"/>
    <w:next w:val="Normal"/>
    <w:uiPriority w:val="37"/>
    <w:unhideWhenUsed/>
    <w:rsid w:val="00EE4C8D"/>
  </w:style>
  <w:style w:type="character" w:styleId="BookTitle">
    <w:name w:val="Book Title"/>
    <w:basedOn w:val="DefaultParagraphFont"/>
    <w:uiPriority w:val="33"/>
    <w:qFormat/>
    <w:rsid w:val="00EE4C8D"/>
    <w:rPr>
      <w:rFonts w:ascii="Century Gothic" w:hAnsi="Century Gothic"/>
      <w:b/>
      <w:bCs/>
      <w:i/>
      <w:iCs/>
      <w:spacing w:val="5"/>
    </w:rPr>
  </w:style>
  <w:style w:type="character" w:customStyle="1" w:styleId="10">
    <w:name w:val="井号标签1"/>
    <w:basedOn w:val="DefaultParagraphFont"/>
    <w:uiPriority w:val="99"/>
    <w:semiHidden/>
    <w:unhideWhenUsed/>
    <w:rsid w:val="00EE4C8D"/>
    <w:rPr>
      <w:rFonts w:ascii="Century Gothic" w:hAnsi="Century Gothic"/>
      <w:color w:val="2B579A"/>
      <w:shd w:val="clear" w:color="auto" w:fill="E1DFDD"/>
    </w:rPr>
  </w:style>
  <w:style w:type="paragraph" w:styleId="MessageHeader">
    <w:name w:val="Message Header"/>
    <w:basedOn w:val="Normal"/>
    <w:link w:val="MessageHeaderChar"/>
    <w:uiPriority w:val="99"/>
    <w:semiHidden/>
    <w:unhideWhenUsed/>
    <w:rsid w:val="00EE4C8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EE4C8D"/>
    <w:rPr>
      <w:rFonts w:ascii="Century Gothic" w:eastAsiaTheme="majorEastAsia" w:hAnsi="Century Gothic" w:cstheme="majorBidi"/>
      <w:shd w:val="pct20" w:color="auto" w:fill="auto"/>
    </w:rPr>
  </w:style>
  <w:style w:type="table" w:styleId="TableElegant">
    <w:name w:val="Table Elegant"/>
    <w:basedOn w:val="TableNormal"/>
    <w:uiPriority w:val="99"/>
    <w:semiHidden/>
    <w:unhideWhenUsed/>
    <w:rsid w:val="00EE4C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unhideWhenUsed/>
    <w:rsid w:val="00EE4C8D"/>
    <w:pPr>
      <w:ind w:left="360" w:hanging="360"/>
      <w:contextualSpacing/>
    </w:pPr>
  </w:style>
  <w:style w:type="paragraph" w:styleId="List2">
    <w:name w:val="List 2"/>
    <w:basedOn w:val="Normal"/>
    <w:uiPriority w:val="99"/>
    <w:semiHidden/>
    <w:unhideWhenUsed/>
    <w:rsid w:val="00EE4C8D"/>
    <w:pPr>
      <w:ind w:left="720" w:hanging="360"/>
      <w:contextualSpacing/>
    </w:pPr>
  </w:style>
  <w:style w:type="paragraph" w:styleId="List3">
    <w:name w:val="List 3"/>
    <w:basedOn w:val="Normal"/>
    <w:uiPriority w:val="99"/>
    <w:semiHidden/>
    <w:unhideWhenUsed/>
    <w:rsid w:val="00EE4C8D"/>
    <w:pPr>
      <w:ind w:left="1080" w:hanging="360"/>
      <w:contextualSpacing/>
    </w:pPr>
  </w:style>
  <w:style w:type="paragraph" w:styleId="List4">
    <w:name w:val="List 4"/>
    <w:basedOn w:val="Normal"/>
    <w:uiPriority w:val="99"/>
    <w:semiHidden/>
    <w:unhideWhenUsed/>
    <w:rsid w:val="00EE4C8D"/>
    <w:pPr>
      <w:ind w:left="1440" w:hanging="360"/>
      <w:contextualSpacing/>
    </w:pPr>
  </w:style>
  <w:style w:type="paragraph" w:styleId="List5">
    <w:name w:val="List 5"/>
    <w:basedOn w:val="Normal"/>
    <w:uiPriority w:val="99"/>
    <w:semiHidden/>
    <w:unhideWhenUsed/>
    <w:rsid w:val="00EE4C8D"/>
    <w:pPr>
      <w:ind w:left="1800" w:hanging="360"/>
      <w:contextualSpacing/>
    </w:pPr>
  </w:style>
  <w:style w:type="table" w:styleId="TableList1">
    <w:name w:val="Table List 1"/>
    <w:basedOn w:val="TableNormal"/>
    <w:uiPriority w:val="99"/>
    <w:semiHidden/>
    <w:unhideWhenUsed/>
    <w:rsid w:val="00EE4C8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E4C8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E4C8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E4C8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E4C8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E4C8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E4C8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EE4C8D"/>
    <w:pPr>
      <w:spacing w:after="120"/>
      <w:ind w:left="360"/>
      <w:contextualSpacing/>
    </w:pPr>
  </w:style>
  <w:style w:type="paragraph" w:styleId="ListContinue2">
    <w:name w:val="List Continue 2"/>
    <w:basedOn w:val="Normal"/>
    <w:uiPriority w:val="99"/>
    <w:semiHidden/>
    <w:unhideWhenUsed/>
    <w:rsid w:val="00EE4C8D"/>
    <w:pPr>
      <w:spacing w:after="120"/>
      <w:ind w:left="720"/>
      <w:contextualSpacing/>
    </w:pPr>
  </w:style>
  <w:style w:type="paragraph" w:styleId="ListContinue3">
    <w:name w:val="List Continue 3"/>
    <w:basedOn w:val="Normal"/>
    <w:uiPriority w:val="99"/>
    <w:semiHidden/>
    <w:unhideWhenUsed/>
    <w:rsid w:val="00EE4C8D"/>
    <w:pPr>
      <w:spacing w:after="120"/>
      <w:ind w:left="1080"/>
      <w:contextualSpacing/>
    </w:pPr>
  </w:style>
  <w:style w:type="paragraph" w:styleId="ListContinue4">
    <w:name w:val="List Continue 4"/>
    <w:basedOn w:val="Normal"/>
    <w:uiPriority w:val="99"/>
    <w:semiHidden/>
    <w:unhideWhenUsed/>
    <w:rsid w:val="00EE4C8D"/>
    <w:pPr>
      <w:spacing w:after="120"/>
      <w:ind w:left="1440"/>
      <w:contextualSpacing/>
    </w:pPr>
  </w:style>
  <w:style w:type="paragraph" w:styleId="ListContinue5">
    <w:name w:val="List Continue 5"/>
    <w:basedOn w:val="Normal"/>
    <w:uiPriority w:val="99"/>
    <w:semiHidden/>
    <w:unhideWhenUsed/>
    <w:rsid w:val="00EE4C8D"/>
    <w:pPr>
      <w:spacing w:after="120"/>
      <w:ind w:left="1800"/>
      <w:contextualSpacing/>
    </w:pPr>
  </w:style>
  <w:style w:type="paragraph" w:styleId="ListParagraph">
    <w:name w:val="List Paragraph"/>
    <w:basedOn w:val="Normal"/>
    <w:uiPriority w:val="34"/>
    <w:qFormat/>
    <w:rsid w:val="00EE4C8D"/>
    <w:pPr>
      <w:ind w:left="720"/>
      <w:contextualSpacing/>
    </w:pPr>
  </w:style>
  <w:style w:type="paragraph" w:styleId="ListNumber">
    <w:name w:val="List Number"/>
    <w:basedOn w:val="Normal"/>
    <w:uiPriority w:val="99"/>
    <w:semiHidden/>
    <w:unhideWhenUsed/>
    <w:rsid w:val="00EE4C8D"/>
    <w:pPr>
      <w:numPr>
        <w:numId w:val="3"/>
      </w:numPr>
      <w:contextualSpacing/>
    </w:pPr>
  </w:style>
  <w:style w:type="paragraph" w:styleId="ListNumber2">
    <w:name w:val="List Number 2"/>
    <w:basedOn w:val="Normal"/>
    <w:uiPriority w:val="99"/>
    <w:semiHidden/>
    <w:unhideWhenUsed/>
    <w:rsid w:val="00EE4C8D"/>
    <w:pPr>
      <w:numPr>
        <w:numId w:val="4"/>
      </w:numPr>
      <w:contextualSpacing/>
    </w:pPr>
  </w:style>
  <w:style w:type="paragraph" w:styleId="ListNumber3">
    <w:name w:val="List Number 3"/>
    <w:basedOn w:val="Normal"/>
    <w:uiPriority w:val="99"/>
    <w:semiHidden/>
    <w:unhideWhenUsed/>
    <w:rsid w:val="00EE4C8D"/>
    <w:pPr>
      <w:numPr>
        <w:numId w:val="5"/>
      </w:numPr>
      <w:contextualSpacing/>
    </w:pPr>
  </w:style>
  <w:style w:type="paragraph" w:styleId="ListNumber4">
    <w:name w:val="List Number 4"/>
    <w:basedOn w:val="Normal"/>
    <w:uiPriority w:val="99"/>
    <w:semiHidden/>
    <w:unhideWhenUsed/>
    <w:rsid w:val="00EE4C8D"/>
    <w:pPr>
      <w:numPr>
        <w:numId w:val="6"/>
      </w:numPr>
      <w:contextualSpacing/>
    </w:pPr>
  </w:style>
  <w:style w:type="paragraph" w:styleId="ListNumber5">
    <w:name w:val="List Number 5"/>
    <w:basedOn w:val="Normal"/>
    <w:uiPriority w:val="99"/>
    <w:semiHidden/>
    <w:unhideWhenUsed/>
    <w:rsid w:val="00EE4C8D"/>
    <w:pPr>
      <w:numPr>
        <w:numId w:val="7"/>
      </w:numPr>
      <w:contextualSpacing/>
    </w:pPr>
  </w:style>
  <w:style w:type="paragraph" w:styleId="ListBullet">
    <w:name w:val="List Bullet"/>
    <w:basedOn w:val="Normal"/>
    <w:uiPriority w:val="99"/>
    <w:semiHidden/>
    <w:unhideWhenUsed/>
    <w:rsid w:val="00EE4C8D"/>
    <w:pPr>
      <w:numPr>
        <w:numId w:val="8"/>
      </w:numPr>
      <w:contextualSpacing/>
    </w:pPr>
  </w:style>
  <w:style w:type="paragraph" w:styleId="ListBullet2">
    <w:name w:val="List Bullet 2"/>
    <w:basedOn w:val="Normal"/>
    <w:uiPriority w:val="99"/>
    <w:semiHidden/>
    <w:unhideWhenUsed/>
    <w:rsid w:val="00EE4C8D"/>
    <w:pPr>
      <w:numPr>
        <w:numId w:val="9"/>
      </w:numPr>
      <w:contextualSpacing/>
    </w:pPr>
  </w:style>
  <w:style w:type="paragraph" w:styleId="ListBullet3">
    <w:name w:val="List Bullet 3"/>
    <w:basedOn w:val="Normal"/>
    <w:uiPriority w:val="99"/>
    <w:semiHidden/>
    <w:unhideWhenUsed/>
    <w:rsid w:val="00EE4C8D"/>
    <w:pPr>
      <w:numPr>
        <w:numId w:val="10"/>
      </w:numPr>
      <w:contextualSpacing/>
    </w:pPr>
  </w:style>
  <w:style w:type="paragraph" w:styleId="ListBullet4">
    <w:name w:val="List Bullet 4"/>
    <w:basedOn w:val="Normal"/>
    <w:uiPriority w:val="99"/>
    <w:semiHidden/>
    <w:unhideWhenUsed/>
    <w:rsid w:val="00EE4C8D"/>
    <w:pPr>
      <w:numPr>
        <w:numId w:val="11"/>
      </w:numPr>
      <w:contextualSpacing/>
    </w:pPr>
  </w:style>
  <w:style w:type="paragraph" w:styleId="ListBullet5">
    <w:name w:val="List Bullet 5"/>
    <w:basedOn w:val="Normal"/>
    <w:uiPriority w:val="99"/>
    <w:semiHidden/>
    <w:unhideWhenUsed/>
    <w:rsid w:val="00EE4C8D"/>
    <w:pPr>
      <w:numPr>
        <w:numId w:val="12"/>
      </w:numPr>
      <w:contextualSpacing/>
    </w:pPr>
  </w:style>
  <w:style w:type="table" w:styleId="TableClassic1">
    <w:name w:val="Table Classic 1"/>
    <w:basedOn w:val="TableNormal"/>
    <w:uiPriority w:val="99"/>
    <w:semiHidden/>
    <w:unhideWhenUsed/>
    <w:rsid w:val="00EE4C8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E4C8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E4C8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E4C8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EE4C8D"/>
  </w:style>
  <w:style w:type="paragraph" w:styleId="MacroText">
    <w:name w:val="macro"/>
    <w:link w:val="MacroTextChar"/>
    <w:uiPriority w:val="99"/>
    <w:semiHidden/>
    <w:unhideWhenUsed/>
    <w:rsid w:val="00EE4C8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EE4C8D"/>
    <w:rPr>
      <w:rFonts w:ascii="Consolas" w:hAnsi="Consolas"/>
      <w:sz w:val="20"/>
      <w:szCs w:val="20"/>
    </w:rPr>
  </w:style>
  <w:style w:type="paragraph" w:styleId="EnvelopeReturn">
    <w:name w:val="envelope return"/>
    <w:basedOn w:val="Normal"/>
    <w:uiPriority w:val="99"/>
    <w:semiHidden/>
    <w:unhideWhenUsed/>
    <w:rsid w:val="00EE4C8D"/>
    <w:rPr>
      <w:rFonts w:eastAsiaTheme="majorEastAsia" w:cstheme="majorBidi"/>
      <w:sz w:val="20"/>
      <w:szCs w:val="20"/>
    </w:rPr>
  </w:style>
  <w:style w:type="character" w:styleId="EndnoteReference">
    <w:name w:val="endnote reference"/>
    <w:basedOn w:val="DefaultParagraphFont"/>
    <w:uiPriority w:val="99"/>
    <w:semiHidden/>
    <w:unhideWhenUsed/>
    <w:rsid w:val="00EE4C8D"/>
    <w:rPr>
      <w:rFonts w:ascii="Century Gothic" w:hAnsi="Century Gothic"/>
      <w:vertAlign w:val="superscript"/>
    </w:rPr>
  </w:style>
  <w:style w:type="paragraph" w:styleId="EndnoteText">
    <w:name w:val="endnote text"/>
    <w:basedOn w:val="Normal"/>
    <w:link w:val="EndnoteTextChar"/>
    <w:uiPriority w:val="99"/>
    <w:semiHidden/>
    <w:unhideWhenUsed/>
    <w:rsid w:val="00EE4C8D"/>
    <w:rPr>
      <w:sz w:val="20"/>
      <w:szCs w:val="20"/>
    </w:rPr>
  </w:style>
  <w:style w:type="character" w:customStyle="1" w:styleId="EndnoteTextChar">
    <w:name w:val="Endnote Text Char"/>
    <w:basedOn w:val="DefaultParagraphFont"/>
    <w:link w:val="EndnoteText"/>
    <w:uiPriority w:val="99"/>
    <w:semiHidden/>
    <w:rsid w:val="00EE4C8D"/>
    <w:rPr>
      <w:rFonts w:ascii="Century Gothic" w:hAnsi="Century Gothic"/>
      <w:sz w:val="20"/>
      <w:szCs w:val="20"/>
    </w:rPr>
  </w:style>
  <w:style w:type="paragraph" w:styleId="TableofAuthorities">
    <w:name w:val="table of authorities"/>
    <w:basedOn w:val="Normal"/>
    <w:next w:val="Normal"/>
    <w:uiPriority w:val="99"/>
    <w:semiHidden/>
    <w:unhideWhenUsed/>
    <w:rsid w:val="00EE4C8D"/>
    <w:pPr>
      <w:ind w:left="180" w:hanging="180"/>
    </w:pPr>
  </w:style>
  <w:style w:type="paragraph" w:styleId="TOAHeading">
    <w:name w:val="toa heading"/>
    <w:basedOn w:val="Normal"/>
    <w:next w:val="Normal"/>
    <w:uiPriority w:val="99"/>
    <w:semiHidden/>
    <w:rsid w:val="00EE4C8D"/>
    <w:pPr>
      <w:spacing w:before="120"/>
    </w:pPr>
    <w:rPr>
      <w:rFonts w:eastAsiaTheme="majorEastAsia" w:cstheme="majorBidi"/>
      <w:b/>
      <w:bCs/>
      <w:sz w:val="24"/>
      <w:szCs w:val="24"/>
    </w:rPr>
  </w:style>
  <w:style w:type="paragraph" w:styleId="Quote">
    <w:name w:val="Quote"/>
    <w:basedOn w:val="Normal"/>
    <w:next w:val="Normal"/>
    <w:link w:val="QuoteChar"/>
    <w:uiPriority w:val="29"/>
    <w:qFormat/>
    <w:rsid w:val="00EE4C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E4C8D"/>
    <w:rPr>
      <w:rFonts w:ascii="Century Gothic" w:hAnsi="Century Gothic"/>
      <w:i/>
      <w:iCs/>
      <w:color w:val="404040" w:themeColor="text1" w:themeTint="BF"/>
      <w:sz w:val="18"/>
      <w:szCs w:val="22"/>
    </w:rPr>
  </w:style>
  <w:style w:type="table" w:styleId="ColorfulList">
    <w:name w:val="Colorful List"/>
    <w:basedOn w:val="TableNormal"/>
    <w:uiPriority w:val="72"/>
    <w:semiHidden/>
    <w:unhideWhenUsed/>
    <w:rsid w:val="00EE4C8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E4C8D"/>
    <w:rPr>
      <w:color w:val="000000" w:themeColor="text1"/>
    </w:rPr>
    <w:tblPr>
      <w:tblStyleRowBandSize w:val="1"/>
      <w:tblStyleColBandSize w:val="1"/>
    </w:tblPr>
    <w:tcPr>
      <w:shd w:val="clear" w:color="auto" w:fill="F4F7FA" w:themeFill="accen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hemeFill="accent1" w:themeFillTint="3F"/>
      </w:tcPr>
    </w:tblStylePr>
    <w:tblStylePr w:type="band1Horz">
      <w:tblPr/>
      <w:tcPr>
        <w:shd w:val="clear" w:color="auto" w:fill="E9F0F6" w:themeFill="accent1" w:themeFillTint="33"/>
      </w:tcPr>
    </w:tblStylePr>
  </w:style>
  <w:style w:type="table" w:styleId="ColorfulList-Accent2">
    <w:name w:val="Colorful List Accent 2"/>
    <w:basedOn w:val="TableNormal"/>
    <w:uiPriority w:val="72"/>
    <w:semiHidden/>
    <w:unhideWhenUsed/>
    <w:rsid w:val="00EE4C8D"/>
    <w:rPr>
      <w:color w:val="000000" w:themeColor="text1"/>
    </w:rPr>
    <w:tblPr>
      <w:tblStyleRowBandSize w:val="1"/>
      <w:tblStyleColBandSize w:val="1"/>
    </w:tblPr>
    <w:tcPr>
      <w:shd w:val="clear" w:color="auto" w:fill="FBF2EC" w:themeFill="accent2"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hemeFill="accent2" w:themeFillTint="3F"/>
      </w:tcPr>
    </w:tblStylePr>
    <w:tblStylePr w:type="band1Horz">
      <w:tblPr/>
      <w:tcPr>
        <w:shd w:val="clear" w:color="auto" w:fill="F8E5DA" w:themeFill="accent2" w:themeFillTint="33"/>
      </w:tcPr>
    </w:tblStylePr>
  </w:style>
  <w:style w:type="table" w:styleId="ColorfulList-Accent3">
    <w:name w:val="Colorful List Accent 3"/>
    <w:basedOn w:val="TableNormal"/>
    <w:uiPriority w:val="72"/>
    <w:semiHidden/>
    <w:unhideWhenUsed/>
    <w:rsid w:val="00EE4C8D"/>
    <w:rPr>
      <w:color w:val="000000" w:themeColor="text1"/>
    </w:rPr>
    <w:tblPr>
      <w:tblStyleRowBandSize w:val="1"/>
      <w:tblStyleColBandSize w:val="1"/>
    </w:tblPr>
    <w:tcPr>
      <w:shd w:val="clear" w:color="auto" w:fill="F6F6F2" w:themeFill="accent3" w:themeFillTint="19"/>
    </w:tcPr>
    <w:tblStylePr w:type="firstRow">
      <w:rPr>
        <w:b/>
        <w:bCs/>
        <w:color w:val="FFFFFF" w:themeColor="background1"/>
      </w:rPr>
      <w:tblPr/>
      <w:tcPr>
        <w:tcBorders>
          <w:bottom w:val="single" w:sz="12" w:space="0" w:color="FFFFFF" w:themeColor="background1"/>
        </w:tcBorders>
        <w:shd w:val="clear" w:color="auto" w:fill="C6972F" w:themeFill="accent4" w:themeFillShade="CC"/>
      </w:tcPr>
    </w:tblStylePr>
    <w:tblStylePr w:type="lastRow">
      <w:rPr>
        <w:b/>
        <w:bCs/>
        <w:color w:val="C697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hemeFill="accent3" w:themeFillTint="3F"/>
      </w:tcPr>
    </w:tblStylePr>
    <w:tblStylePr w:type="band1Horz">
      <w:tblPr/>
      <w:tcPr>
        <w:shd w:val="clear" w:color="auto" w:fill="EDEEE5" w:themeFill="accent3" w:themeFillTint="33"/>
      </w:tcPr>
    </w:tblStylePr>
  </w:style>
  <w:style w:type="table" w:styleId="ColorfulList-Accent4">
    <w:name w:val="Colorful List Accent 4"/>
    <w:basedOn w:val="TableNormal"/>
    <w:uiPriority w:val="72"/>
    <w:semiHidden/>
    <w:unhideWhenUsed/>
    <w:rsid w:val="00EE4C8D"/>
    <w:rPr>
      <w:color w:val="000000" w:themeColor="text1"/>
    </w:rPr>
    <w:tblPr>
      <w:tblStyleRowBandSize w:val="1"/>
      <w:tblStyleColBandSize w:val="1"/>
    </w:tblPr>
    <w:tcPr>
      <w:shd w:val="clear" w:color="auto" w:fill="FBF7EE" w:themeFill="accent4" w:themeFillTint="19"/>
    </w:tcPr>
    <w:tblStylePr w:type="firstRow">
      <w:rPr>
        <w:b/>
        <w:bCs/>
        <w:color w:val="FFFFFF" w:themeColor="background1"/>
      </w:rPr>
      <w:tblPr/>
      <w:tcPr>
        <w:tcBorders>
          <w:bottom w:val="single" w:sz="12" w:space="0" w:color="FFFFFF" w:themeColor="background1"/>
        </w:tcBorders>
        <w:shd w:val="clear" w:color="auto" w:fill="899060" w:themeFill="accent3" w:themeFillShade="CC"/>
      </w:tcPr>
    </w:tblStylePr>
    <w:tblStylePr w:type="lastRow">
      <w:rPr>
        <w:b/>
        <w:bCs/>
        <w:color w:val="8990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hemeFill="accent4" w:themeFillTint="3F"/>
      </w:tcPr>
    </w:tblStylePr>
    <w:tblStylePr w:type="band1Horz">
      <w:tblPr/>
      <w:tcPr>
        <w:shd w:val="clear" w:color="auto" w:fill="F7EFDE" w:themeFill="accent4" w:themeFillTint="33"/>
      </w:tcPr>
    </w:tblStylePr>
  </w:style>
  <w:style w:type="table" w:styleId="ColorfulList-Accent5">
    <w:name w:val="Colorful List Accent 5"/>
    <w:basedOn w:val="TableNormal"/>
    <w:uiPriority w:val="72"/>
    <w:semiHidden/>
    <w:unhideWhenUsed/>
    <w:rsid w:val="00EE4C8D"/>
    <w:rPr>
      <w:color w:val="000000" w:themeColor="text1"/>
    </w:rPr>
    <w:tblPr>
      <w:tblStyleRowBandSize w:val="1"/>
      <w:tblStyleColBandSize w:val="1"/>
    </w:tblPr>
    <w:tcPr>
      <w:shd w:val="clear" w:color="auto" w:fill="F2F6F5" w:themeFill="accent5" w:themeFillTint="19"/>
    </w:tcPr>
    <w:tblStylePr w:type="firstRow">
      <w:rPr>
        <w:b/>
        <w:bCs/>
        <w:color w:val="FFFFFF" w:themeColor="background1"/>
      </w:rPr>
      <w:tblPr/>
      <w:tcPr>
        <w:tcBorders>
          <w:bottom w:val="single" w:sz="12" w:space="0" w:color="FFFFFF" w:themeColor="background1"/>
        </w:tcBorders>
        <w:shd w:val="clear" w:color="auto" w:fill="796E6E" w:themeFill="accent6" w:themeFillShade="CC"/>
      </w:tcPr>
    </w:tblStylePr>
    <w:tblStylePr w:type="lastRow">
      <w:rPr>
        <w:b/>
        <w:bCs/>
        <w:color w:val="79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hemeFill="accent5" w:themeFillTint="3F"/>
      </w:tcPr>
    </w:tblStylePr>
    <w:tblStylePr w:type="band1Horz">
      <w:tblPr/>
      <w:tcPr>
        <w:shd w:val="clear" w:color="auto" w:fill="E4EDEB" w:themeFill="accent5" w:themeFillTint="33"/>
      </w:tcPr>
    </w:tblStylePr>
  </w:style>
  <w:style w:type="table" w:styleId="ColorfulList-Accent6">
    <w:name w:val="Colorful List Accent 6"/>
    <w:basedOn w:val="TableNormal"/>
    <w:uiPriority w:val="72"/>
    <w:semiHidden/>
    <w:unhideWhenUsed/>
    <w:rsid w:val="00EE4C8D"/>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5C8B80" w:themeFill="accent5" w:themeFillShade="CC"/>
      </w:tcPr>
    </w:tblStylePr>
    <w:tblStylePr w:type="lastRow">
      <w:rPr>
        <w:b/>
        <w:bCs/>
        <w:color w:val="5C8B8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6" w:themeFillTint="3F"/>
      </w:tcPr>
    </w:tblStylePr>
    <w:tblStylePr w:type="band1Horz">
      <w:tblPr/>
      <w:tcPr>
        <w:shd w:val="clear" w:color="auto" w:fill="EAE8E8" w:themeFill="accent6" w:themeFillTint="33"/>
      </w:tcPr>
    </w:tblStylePr>
  </w:style>
  <w:style w:type="table" w:styleId="TableColorful1">
    <w:name w:val="Table Colorful 1"/>
    <w:basedOn w:val="TableNormal"/>
    <w:uiPriority w:val="99"/>
    <w:semiHidden/>
    <w:unhideWhenUsed/>
    <w:rsid w:val="00EE4C8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E4C8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E4C8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94B6D2" w:themeColor="accent1"/>
        <w:bottom w:val="single" w:sz="4" w:space="0" w:color="94B6D2" w:themeColor="accent1"/>
        <w:right w:val="single" w:sz="4" w:space="0" w:color="94B6D2" w:themeColor="accent1"/>
        <w:insideH w:val="single" w:sz="4" w:space="0" w:color="FFFFFF" w:themeColor="background1"/>
        <w:insideV w:val="single" w:sz="4" w:space="0" w:color="FFFFFF" w:themeColor="background1"/>
      </w:tblBorders>
    </w:tblPr>
    <w:tcPr>
      <w:shd w:val="clear" w:color="auto" w:fill="F4F7FA" w:themeFill="accen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6F97" w:themeFill="accent1" w:themeFillShade="99"/>
      </w:tcPr>
    </w:tblStylePr>
    <w:tblStylePr w:type="firstCol">
      <w:rPr>
        <w:color w:val="FFFFFF" w:themeColor="background1"/>
      </w:rPr>
      <w:tblPr/>
      <w:tcPr>
        <w:tcBorders>
          <w:top w:val="nil"/>
          <w:left w:val="nil"/>
          <w:bottom w:val="nil"/>
          <w:right w:val="nil"/>
          <w:insideH w:val="single" w:sz="4" w:space="0" w:color="3F6F97" w:themeColor="accent1" w:themeShade="99"/>
          <w:insideV w:val="nil"/>
        </w:tcBorders>
        <w:shd w:val="clear" w:color="auto" w:fill="3F6F9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F6F97" w:themeFill="accent1" w:themeFillShade="99"/>
      </w:tcPr>
    </w:tblStylePr>
    <w:tblStylePr w:type="band1Vert">
      <w:tblPr/>
      <w:tcPr>
        <w:shd w:val="clear" w:color="auto" w:fill="D4E1ED" w:themeFill="accent1" w:themeFillTint="66"/>
      </w:tcPr>
    </w:tblStylePr>
    <w:tblStylePr w:type="band1Horz">
      <w:tblPr/>
      <w:tcPr>
        <w:shd w:val="clear" w:color="auto" w:fill="C9DA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DD8047" w:themeColor="accent2"/>
        <w:bottom w:val="single" w:sz="4" w:space="0" w:color="DD8047" w:themeColor="accent2"/>
        <w:right w:val="single" w:sz="4" w:space="0" w:color="DD8047" w:themeColor="accent2"/>
        <w:insideH w:val="single" w:sz="4" w:space="0" w:color="FFFFFF" w:themeColor="background1"/>
        <w:insideV w:val="single" w:sz="4" w:space="0" w:color="FFFFFF" w:themeColor="background1"/>
      </w:tblBorders>
    </w:tblPr>
    <w:tcPr>
      <w:shd w:val="clear" w:color="auto" w:fill="FBF2EC" w:themeFill="accent2"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481B" w:themeFill="accent2" w:themeFillShade="99"/>
      </w:tcPr>
    </w:tblStylePr>
    <w:tblStylePr w:type="firstCol">
      <w:rPr>
        <w:color w:val="FFFFFF" w:themeColor="background1"/>
      </w:rPr>
      <w:tblPr/>
      <w:tcPr>
        <w:tcBorders>
          <w:top w:val="nil"/>
          <w:left w:val="nil"/>
          <w:bottom w:val="nil"/>
          <w:right w:val="nil"/>
          <w:insideH w:val="single" w:sz="4" w:space="0" w:color="93481B" w:themeColor="accent2" w:themeShade="99"/>
          <w:insideV w:val="nil"/>
        </w:tcBorders>
        <w:shd w:val="clear" w:color="auto" w:fill="9348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3481B" w:themeFill="accent2" w:themeFillShade="99"/>
      </w:tcPr>
    </w:tblStylePr>
    <w:tblStylePr w:type="band1Vert">
      <w:tblPr/>
      <w:tcPr>
        <w:shd w:val="clear" w:color="auto" w:fill="F1CBB5" w:themeFill="accent2" w:themeFillTint="66"/>
      </w:tcPr>
    </w:tblStylePr>
    <w:tblStylePr w:type="band1Horz">
      <w:tblPr/>
      <w:tcPr>
        <w:shd w:val="clear" w:color="auto" w:fill="EEBF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E4C8D"/>
    <w:rPr>
      <w:color w:val="000000" w:themeColor="text1"/>
    </w:rPr>
    <w:tblPr>
      <w:tblStyleRowBandSize w:val="1"/>
      <w:tblStyleColBandSize w:val="1"/>
      <w:tblBorders>
        <w:top w:val="single" w:sz="24" w:space="0" w:color="D8B25C" w:themeColor="accent4"/>
        <w:left w:val="single" w:sz="4" w:space="0" w:color="A5AB81" w:themeColor="accent3"/>
        <w:bottom w:val="single" w:sz="4" w:space="0" w:color="A5AB81" w:themeColor="accent3"/>
        <w:right w:val="single" w:sz="4" w:space="0" w:color="A5AB81" w:themeColor="accent3"/>
        <w:insideH w:val="single" w:sz="4" w:space="0" w:color="FFFFFF" w:themeColor="background1"/>
        <w:insideV w:val="single" w:sz="4" w:space="0" w:color="FFFFFF" w:themeColor="background1"/>
      </w:tblBorders>
    </w:tblPr>
    <w:tcPr>
      <w:shd w:val="clear" w:color="auto" w:fill="F6F6F2" w:themeFill="accent3" w:themeFillTint="19"/>
    </w:tcPr>
    <w:tblStylePr w:type="firstRow">
      <w:rPr>
        <w:b/>
        <w:bCs/>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6C48" w:themeFill="accent3" w:themeFillShade="99"/>
      </w:tcPr>
    </w:tblStylePr>
    <w:tblStylePr w:type="firstCol">
      <w:rPr>
        <w:color w:val="FFFFFF" w:themeColor="background1"/>
      </w:rPr>
      <w:tblPr/>
      <w:tcPr>
        <w:tcBorders>
          <w:top w:val="nil"/>
          <w:left w:val="nil"/>
          <w:bottom w:val="nil"/>
          <w:right w:val="nil"/>
          <w:insideH w:val="single" w:sz="4" w:space="0" w:color="666C48" w:themeColor="accent3" w:themeShade="99"/>
          <w:insideV w:val="nil"/>
        </w:tcBorders>
        <w:shd w:val="clear" w:color="auto" w:fill="666C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6C48" w:themeFill="accent3" w:themeFillShade="99"/>
      </w:tcPr>
    </w:tblStylePr>
    <w:tblStylePr w:type="band1Vert">
      <w:tblPr/>
      <w:tcPr>
        <w:shd w:val="clear" w:color="auto" w:fill="DBDDCC" w:themeFill="accent3" w:themeFillTint="66"/>
      </w:tcPr>
    </w:tblStylePr>
    <w:tblStylePr w:type="band1Horz">
      <w:tblPr/>
      <w:tcPr>
        <w:shd w:val="clear" w:color="auto" w:fill="D2D5C0" w:themeFill="accent3" w:themeFillTint="7F"/>
      </w:tcPr>
    </w:tblStylePr>
  </w:style>
  <w:style w:type="table" w:styleId="ColorfulShading-Accent4">
    <w:name w:val="Colorful Shading Accent 4"/>
    <w:basedOn w:val="TableNormal"/>
    <w:uiPriority w:val="71"/>
    <w:semiHidden/>
    <w:unhideWhenUsed/>
    <w:rsid w:val="00EE4C8D"/>
    <w:rPr>
      <w:color w:val="000000" w:themeColor="text1"/>
    </w:rPr>
    <w:tblPr>
      <w:tblStyleRowBandSize w:val="1"/>
      <w:tblStyleColBandSize w:val="1"/>
      <w:tblBorders>
        <w:top w:val="single" w:sz="24" w:space="0" w:color="A5AB81" w:themeColor="accent3"/>
        <w:left w:val="single" w:sz="4" w:space="0" w:color="D8B25C" w:themeColor="accent4"/>
        <w:bottom w:val="single" w:sz="4" w:space="0" w:color="D8B25C" w:themeColor="accent4"/>
        <w:right w:val="single" w:sz="4" w:space="0" w:color="D8B25C" w:themeColor="accent4"/>
        <w:insideH w:val="single" w:sz="4" w:space="0" w:color="FFFFFF" w:themeColor="background1"/>
        <w:insideV w:val="single" w:sz="4" w:space="0" w:color="FFFFFF" w:themeColor="background1"/>
      </w:tblBorders>
    </w:tblPr>
    <w:tcPr>
      <w:shd w:val="clear" w:color="auto" w:fill="FBF7EE" w:themeFill="accent4" w:themeFillTint="19"/>
    </w:tcPr>
    <w:tblStylePr w:type="firstRow">
      <w:rPr>
        <w:b/>
        <w:bCs/>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123" w:themeFill="accent4" w:themeFillShade="99"/>
      </w:tcPr>
    </w:tblStylePr>
    <w:tblStylePr w:type="firstCol">
      <w:rPr>
        <w:color w:val="FFFFFF" w:themeColor="background1"/>
      </w:rPr>
      <w:tblPr/>
      <w:tcPr>
        <w:tcBorders>
          <w:top w:val="nil"/>
          <w:left w:val="nil"/>
          <w:bottom w:val="nil"/>
          <w:right w:val="nil"/>
          <w:insideH w:val="single" w:sz="4" w:space="0" w:color="957123" w:themeColor="accent4" w:themeShade="99"/>
          <w:insideV w:val="nil"/>
        </w:tcBorders>
        <w:shd w:val="clear" w:color="auto" w:fill="957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7123" w:themeFill="accent4" w:themeFillShade="99"/>
      </w:tcPr>
    </w:tblStylePr>
    <w:tblStylePr w:type="band1Vert">
      <w:tblPr/>
      <w:tcPr>
        <w:shd w:val="clear" w:color="auto" w:fill="EFE0BD" w:themeFill="accent4" w:themeFillTint="66"/>
      </w:tcPr>
    </w:tblStylePr>
    <w:tblStylePr w:type="band1Horz">
      <w:tblPr/>
      <w:tcPr>
        <w:shd w:val="clear" w:color="auto" w:fill="EBD8A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E4C8D"/>
    <w:rPr>
      <w:color w:val="000000" w:themeColor="text1"/>
    </w:rPr>
    <w:tblPr>
      <w:tblStyleRowBandSize w:val="1"/>
      <w:tblStyleColBandSize w:val="1"/>
      <w:tblBorders>
        <w:top w:val="single" w:sz="24" w:space="0" w:color="968C8C" w:themeColor="accent6"/>
        <w:left w:val="single" w:sz="4" w:space="0" w:color="7BA79D" w:themeColor="accent5"/>
        <w:bottom w:val="single" w:sz="4" w:space="0" w:color="7BA79D" w:themeColor="accent5"/>
        <w:right w:val="single" w:sz="4" w:space="0" w:color="7BA79D" w:themeColor="accent5"/>
        <w:insideH w:val="single" w:sz="4" w:space="0" w:color="FFFFFF" w:themeColor="background1"/>
        <w:insideV w:val="single" w:sz="4" w:space="0" w:color="FFFFFF" w:themeColor="background1"/>
      </w:tblBorders>
    </w:tblPr>
    <w:tcPr>
      <w:shd w:val="clear" w:color="auto" w:fill="F2F6F5" w:themeFill="accent5" w:themeFillTint="19"/>
    </w:tcPr>
    <w:tblStylePr w:type="firstRow">
      <w:rPr>
        <w:b/>
        <w:bCs/>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860" w:themeFill="accent5" w:themeFillShade="99"/>
      </w:tcPr>
    </w:tblStylePr>
    <w:tblStylePr w:type="firstCol">
      <w:rPr>
        <w:color w:val="FFFFFF" w:themeColor="background1"/>
      </w:rPr>
      <w:tblPr/>
      <w:tcPr>
        <w:tcBorders>
          <w:top w:val="nil"/>
          <w:left w:val="nil"/>
          <w:bottom w:val="nil"/>
          <w:right w:val="nil"/>
          <w:insideH w:val="single" w:sz="4" w:space="0" w:color="456860" w:themeColor="accent5" w:themeShade="99"/>
          <w:insideV w:val="nil"/>
        </w:tcBorders>
        <w:shd w:val="clear" w:color="auto" w:fill="45686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6860" w:themeFill="accent5" w:themeFillShade="99"/>
      </w:tcPr>
    </w:tblStylePr>
    <w:tblStylePr w:type="band1Vert">
      <w:tblPr/>
      <w:tcPr>
        <w:shd w:val="clear" w:color="auto" w:fill="CADBD7" w:themeFill="accent5" w:themeFillTint="66"/>
      </w:tcPr>
    </w:tblStylePr>
    <w:tblStylePr w:type="band1Horz">
      <w:tblPr/>
      <w:tcPr>
        <w:shd w:val="clear" w:color="auto" w:fill="BDD3C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E4C8D"/>
    <w:rPr>
      <w:color w:val="000000" w:themeColor="text1"/>
    </w:rPr>
    <w:tblPr>
      <w:tblStyleRowBandSize w:val="1"/>
      <w:tblStyleColBandSize w:val="1"/>
      <w:tblBorders>
        <w:top w:val="single" w:sz="24" w:space="0" w:color="7BA79D" w:themeColor="accent5"/>
        <w:left w:val="single" w:sz="4" w:space="0" w:color="968C8C" w:themeColor="accent6"/>
        <w:bottom w:val="single" w:sz="4" w:space="0" w:color="968C8C" w:themeColor="accent6"/>
        <w:right w:val="single" w:sz="4" w:space="0" w:color="968C8C"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353" w:themeFill="accent6" w:themeFillShade="99"/>
      </w:tcPr>
    </w:tblStylePr>
    <w:tblStylePr w:type="firstCol">
      <w:rPr>
        <w:color w:val="FFFFFF" w:themeColor="background1"/>
      </w:rPr>
      <w:tblPr/>
      <w:tcPr>
        <w:tcBorders>
          <w:top w:val="nil"/>
          <w:left w:val="nil"/>
          <w:bottom w:val="nil"/>
          <w:right w:val="nil"/>
          <w:insideH w:val="single" w:sz="4" w:space="0" w:color="5A5353" w:themeColor="accent6" w:themeShade="99"/>
          <w:insideV w:val="nil"/>
        </w:tcBorders>
        <w:shd w:val="clear" w:color="auto" w:fill="5A535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5353" w:themeFill="accent6" w:themeFillShade="99"/>
      </w:tcPr>
    </w:tblStylePr>
    <w:tblStylePr w:type="band1Vert">
      <w:tblPr/>
      <w:tcPr>
        <w:shd w:val="clear" w:color="auto" w:fill="D5D1D1" w:themeFill="accent6" w:themeFillTint="66"/>
      </w:tcPr>
    </w:tblStylePr>
    <w:tblStylePr w:type="band1Horz">
      <w:tblPr/>
      <w:tcPr>
        <w:shd w:val="clear" w:color="auto" w:fill="CAC5C5"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9F0F6" w:themeFill="accent1" w:themeFillTint="33"/>
    </w:tcPr>
    <w:tblStylePr w:type="firstRow">
      <w:rPr>
        <w:b/>
        <w:bCs/>
      </w:rPr>
      <w:tblPr/>
      <w:tcPr>
        <w:shd w:val="clear" w:color="auto" w:fill="D4E1ED" w:themeFill="accent1" w:themeFillTint="66"/>
      </w:tcPr>
    </w:tblStylePr>
    <w:tblStylePr w:type="lastRow">
      <w:rPr>
        <w:b/>
        <w:bCs/>
        <w:color w:val="000000" w:themeColor="text1"/>
      </w:rPr>
      <w:tblPr/>
      <w:tcPr>
        <w:shd w:val="clear" w:color="auto" w:fill="D4E1ED" w:themeFill="accent1" w:themeFillTint="66"/>
      </w:tcPr>
    </w:tblStylePr>
    <w:tblStylePr w:type="firstCol">
      <w:rPr>
        <w:color w:val="FFFFFF" w:themeColor="background1"/>
      </w:rPr>
      <w:tblPr/>
      <w:tcPr>
        <w:shd w:val="clear" w:color="auto" w:fill="548AB7" w:themeFill="accent1" w:themeFillShade="BF"/>
      </w:tcPr>
    </w:tblStylePr>
    <w:tblStylePr w:type="lastCol">
      <w:rPr>
        <w:color w:val="FFFFFF" w:themeColor="background1"/>
      </w:rPr>
      <w:tblPr/>
      <w:tcPr>
        <w:shd w:val="clear" w:color="auto" w:fill="548AB7" w:themeFill="accent1" w:themeFillShade="BF"/>
      </w:tc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ColorfulGrid-Accent2">
    <w:name w:val="Colorful Grid Accent 2"/>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F8E5DA" w:themeFill="accent2" w:themeFillTint="33"/>
    </w:tcPr>
    <w:tblStylePr w:type="firstRow">
      <w:rPr>
        <w:b/>
        <w:bCs/>
      </w:rPr>
      <w:tblPr/>
      <w:tcPr>
        <w:shd w:val="clear" w:color="auto" w:fill="F1CBB5" w:themeFill="accent2" w:themeFillTint="66"/>
      </w:tcPr>
    </w:tblStylePr>
    <w:tblStylePr w:type="lastRow">
      <w:rPr>
        <w:b/>
        <w:bCs/>
        <w:color w:val="000000" w:themeColor="text1"/>
      </w:rPr>
      <w:tblPr/>
      <w:tcPr>
        <w:shd w:val="clear" w:color="auto" w:fill="F1CBB5" w:themeFill="accent2" w:themeFillTint="66"/>
      </w:tcPr>
    </w:tblStylePr>
    <w:tblStylePr w:type="firstCol">
      <w:rPr>
        <w:color w:val="FFFFFF" w:themeColor="background1"/>
      </w:rPr>
      <w:tblPr/>
      <w:tcPr>
        <w:shd w:val="clear" w:color="auto" w:fill="B85A22" w:themeFill="accent2" w:themeFillShade="BF"/>
      </w:tcPr>
    </w:tblStylePr>
    <w:tblStylePr w:type="lastCol">
      <w:rPr>
        <w:color w:val="FFFFFF" w:themeColor="background1"/>
      </w:rPr>
      <w:tblPr/>
      <w:tcPr>
        <w:shd w:val="clear" w:color="auto" w:fill="B85A22" w:themeFill="accent2" w:themeFillShade="BF"/>
      </w:tc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ColorfulGrid-Accent3">
    <w:name w:val="Colorful Grid Accent 3"/>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DEEE5" w:themeFill="accent3" w:themeFillTint="33"/>
    </w:tcPr>
    <w:tblStylePr w:type="firstRow">
      <w:rPr>
        <w:b/>
        <w:bCs/>
      </w:rPr>
      <w:tblPr/>
      <w:tcPr>
        <w:shd w:val="clear" w:color="auto" w:fill="DBDDCC" w:themeFill="accent3" w:themeFillTint="66"/>
      </w:tcPr>
    </w:tblStylePr>
    <w:tblStylePr w:type="lastRow">
      <w:rPr>
        <w:b/>
        <w:bCs/>
        <w:color w:val="000000" w:themeColor="text1"/>
      </w:rPr>
      <w:tblPr/>
      <w:tcPr>
        <w:shd w:val="clear" w:color="auto" w:fill="DBDDCC" w:themeFill="accent3" w:themeFillTint="66"/>
      </w:tcPr>
    </w:tblStylePr>
    <w:tblStylePr w:type="firstCol">
      <w:rPr>
        <w:color w:val="FFFFFF" w:themeColor="background1"/>
      </w:rPr>
      <w:tblPr/>
      <w:tcPr>
        <w:shd w:val="clear" w:color="auto" w:fill="80865A" w:themeFill="accent3" w:themeFillShade="BF"/>
      </w:tcPr>
    </w:tblStylePr>
    <w:tblStylePr w:type="lastCol">
      <w:rPr>
        <w:color w:val="FFFFFF" w:themeColor="background1"/>
      </w:rPr>
      <w:tblPr/>
      <w:tcPr>
        <w:shd w:val="clear" w:color="auto" w:fill="80865A" w:themeFill="accent3" w:themeFillShade="BF"/>
      </w:tc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ColorfulGrid-Accent4">
    <w:name w:val="Colorful Grid Accent 4"/>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F7EFDE" w:themeFill="accent4" w:themeFillTint="33"/>
    </w:tcPr>
    <w:tblStylePr w:type="firstRow">
      <w:rPr>
        <w:b/>
        <w:bCs/>
      </w:rPr>
      <w:tblPr/>
      <w:tcPr>
        <w:shd w:val="clear" w:color="auto" w:fill="EFE0BD" w:themeFill="accent4" w:themeFillTint="66"/>
      </w:tcPr>
    </w:tblStylePr>
    <w:tblStylePr w:type="lastRow">
      <w:rPr>
        <w:b/>
        <w:bCs/>
        <w:color w:val="000000" w:themeColor="text1"/>
      </w:rPr>
      <w:tblPr/>
      <w:tcPr>
        <w:shd w:val="clear" w:color="auto" w:fill="EFE0BD" w:themeFill="accent4" w:themeFillTint="66"/>
      </w:tcPr>
    </w:tblStylePr>
    <w:tblStylePr w:type="firstCol">
      <w:rPr>
        <w:color w:val="FFFFFF" w:themeColor="background1"/>
      </w:rPr>
      <w:tblPr/>
      <w:tcPr>
        <w:shd w:val="clear" w:color="auto" w:fill="BA8E2C" w:themeFill="accent4" w:themeFillShade="BF"/>
      </w:tcPr>
    </w:tblStylePr>
    <w:tblStylePr w:type="lastCol">
      <w:rPr>
        <w:color w:val="FFFFFF" w:themeColor="background1"/>
      </w:rPr>
      <w:tblPr/>
      <w:tcPr>
        <w:shd w:val="clear" w:color="auto" w:fill="BA8E2C" w:themeFill="accent4" w:themeFillShade="BF"/>
      </w:tc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ColorfulGrid-Accent5">
    <w:name w:val="Colorful Grid Accent 5"/>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4EDEB" w:themeFill="accent5" w:themeFillTint="33"/>
    </w:tcPr>
    <w:tblStylePr w:type="firstRow">
      <w:rPr>
        <w:b/>
        <w:bCs/>
      </w:rPr>
      <w:tblPr/>
      <w:tcPr>
        <w:shd w:val="clear" w:color="auto" w:fill="CADBD7" w:themeFill="accent5" w:themeFillTint="66"/>
      </w:tcPr>
    </w:tblStylePr>
    <w:tblStylePr w:type="lastRow">
      <w:rPr>
        <w:b/>
        <w:bCs/>
        <w:color w:val="000000" w:themeColor="text1"/>
      </w:rPr>
      <w:tblPr/>
      <w:tcPr>
        <w:shd w:val="clear" w:color="auto" w:fill="CADBD7" w:themeFill="accent5" w:themeFillTint="66"/>
      </w:tcPr>
    </w:tblStylePr>
    <w:tblStylePr w:type="firstCol">
      <w:rPr>
        <w:color w:val="FFFFFF" w:themeColor="background1"/>
      </w:rPr>
      <w:tblPr/>
      <w:tcPr>
        <w:shd w:val="clear" w:color="auto" w:fill="568278" w:themeFill="accent5" w:themeFillShade="BF"/>
      </w:tcPr>
    </w:tblStylePr>
    <w:tblStylePr w:type="lastCol">
      <w:rPr>
        <w:color w:val="FFFFFF" w:themeColor="background1"/>
      </w:rPr>
      <w:tblPr/>
      <w:tcPr>
        <w:shd w:val="clear" w:color="auto" w:fill="568278" w:themeFill="accent5" w:themeFillShade="BF"/>
      </w:tc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ColorfulGrid-Accent6">
    <w:name w:val="Colorful Grid Accent 6"/>
    <w:basedOn w:val="Table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AE8E8" w:themeFill="accent6" w:themeFillTint="33"/>
    </w:tcPr>
    <w:tblStylePr w:type="firstRow">
      <w:rPr>
        <w:b/>
        <w:bCs/>
      </w:rPr>
      <w:tblPr/>
      <w:tcPr>
        <w:shd w:val="clear" w:color="auto" w:fill="D5D1D1" w:themeFill="accent6" w:themeFillTint="66"/>
      </w:tcPr>
    </w:tblStylePr>
    <w:tblStylePr w:type="lastRow">
      <w:rPr>
        <w:b/>
        <w:bCs/>
        <w:color w:val="000000" w:themeColor="text1"/>
      </w:rPr>
      <w:tblPr/>
      <w:tcPr>
        <w:shd w:val="clear" w:color="auto" w:fill="D5D1D1" w:themeFill="accent6" w:themeFillTint="66"/>
      </w:tcPr>
    </w:tblStylePr>
    <w:tblStylePr w:type="firstCol">
      <w:rPr>
        <w:color w:val="FFFFFF" w:themeColor="background1"/>
      </w:rPr>
      <w:tblPr/>
      <w:tcPr>
        <w:shd w:val="clear" w:color="auto" w:fill="716767" w:themeFill="accent6" w:themeFillShade="BF"/>
      </w:tcPr>
    </w:tblStylePr>
    <w:tblStylePr w:type="lastCol">
      <w:rPr>
        <w:color w:val="FFFFFF" w:themeColor="background1"/>
      </w:rPr>
      <w:tblPr/>
      <w:tcPr>
        <w:shd w:val="clear" w:color="auto" w:fill="716767" w:themeFill="accent6" w:themeFillShade="BF"/>
      </w:tc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paragraph" w:styleId="CommentText">
    <w:name w:val="annotation text"/>
    <w:basedOn w:val="Normal"/>
    <w:link w:val="CommentTextChar"/>
    <w:uiPriority w:val="99"/>
    <w:unhideWhenUsed/>
    <w:rsid w:val="00EE4C8D"/>
    <w:rPr>
      <w:sz w:val="20"/>
      <w:szCs w:val="20"/>
    </w:rPr>
  </w:style>
  <w:style w:type="character" w:customStyle="1" w:styleId="CommentTextChar">
    <w:name w:val="Comment Text Char"/>
    <w:basedOn w:val="DefaultParagraphFont"/>
    <w:link w:val="CommentText"/>
    <w:uiPriority w:val="99"/>
    <w:rsid w:val="00EE4C8D"/>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EE4C8D"/>
    <w:rPr>
      <w:b/>
      <w:bCs/>
    </w:rPr>
  </w:style>
  <w:style w:type="character" w:customStyle="1" w:styleId="CommentSubjectChar">
    <w:name w:val="Comment Subject Char"/>
    <w:basedOn w:val="CommentTextChar"/>
    <w:link w:val="CommentSubject"/>
    <w:uiPriority w:val="99"/>
    <w:semiHidden/>
    <w:rsid w:val="00EE4C8D"/>
    <w:rPr>
      <w:rFonts w:ascii="Century Gothic" w:hAnsi="Century Gothic"/>
      <w:b/>
      <w:bCs/>
      <w:sz w:val="20"/>
      <w:szCs w:val="20"/>
    </w:rPr>
  </w:style>
  <w:style w:type="character" w:styleId="CommentReference">
    <w:name w:val="annotation reference"/>
    <w:basedOn w:val="DefaultParagraphFont"/>
    <w:uiPriority w:val="99"/>
    <w:semiHidden/>
    <w:unhideWhenUsed/>
    <w:rsid w:val="00EE4C8D"/>
    <w:rPr>
      <w:rFonts w:ascii="Century Gothic" w:hAnsi="Century Gothic"/>
      <w:sz w:val="16"/>
      <w:szCs w:val="16"/>
    </w:rPr>
  </w:style>
  <w:style w:type="paragraph" w:styleId="BalloonText">
    <w:name w:val="Balloon Text"/>
    <w:basedOn w:val="Normal"/>
    <w:link w:val="BalloonTextChar"/>
    <w:uiPriority w:val="99"/>
    <w:semiHidden/>
    <w:unhideWhenUsed/>
    <w:rsid w:val="00EE4C8D"/>
    <w:rPr>
      <w:rFonts w:ascii="Microsoft YaHei UI" w:eastAsia="Microsoft YaHei UI" w:hAnsi="Microsoft YaHei UI"/>
      <w:szCs w:val="18"/>
    </w:rPr>
  </w:style>
  <w:style w:type="character" w:customStyle="1" w:styleId="BalloonTextChar">
    <w:name w:val="Balloon Text Char"/>
    <w:basedOn w:val="DefaultParagraphFont"/>
    <w:link w:val="BalloonText"/>
    <w:uiPriority w:val="99"/>
    <w:rsid w:val="00EE4C8D"/>
    <w:rPr>
      <w:rFonts w:ascii="Microsoft YaHei UI" w:eastAsia="Microsoft YaHei UI" w:hAnsi="Microsoft YaHei UI"/>
      <w:sz w:val="18"/>
      <w:szCs w:val="18"/>
    </w:rPr>
  </w:style>
  <w:style w:type="paragraph" w:styleId="EnvelopeAddress">
    <w:name w:val="envelope address"/>
    <w:basedOn w:val="Normal"/>
    <w:uiPriority w:val="99"/>
    <w:semiHidden/>
    <w:unhideWhenUsed/>
    <w:rsid w:val="00EE4C8D"/>
    <w:pPr>
      <w:framePr w:w="7920" w:h="1980" w:hRule="exact" w:hSpace="180" w:wrap="auto" w:hAnchor="page" w:xAlign="center" w:yAlign="bottom"/>
      <w:ind w:left="2880"/>
    </w:pPr>
    <w:rPr>
      <w:rFonts w:eastAsiaTheme="majorEastAsia" w:cstheme="majorBidi"/>
      <w:sz w:val="24"/>
      <w:szCs w:val="24"/>
    </w:rPr>
  </w:style>
  <w:style w:type="paragraph" w:styleId="BlockText">
    <w:name w:val="Block Text"/>
    <w:basedOn w:val="Normal"/>
    <w:uiPriority w:val="99"/>
    <w:semiHidden/>
    <w:unhideWhenUsed/>
    <w:rsid w:val="00EE4C8D"/>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DocumentMap">
    <w:name w:val="Document Map"/>
    <w:basedOn w:val="Normal"/>
    <w:link w:val="DocumentMapChar"/>
    <w:uiPriority w:val="99"/>
    <w:semiHidden/>
    <w:unhideWhenUsed/>
    <w:rsid w:val="00EE4C8D"/>
    <w:rPr>
      <w:rFonts w:ascii="Microsoft YaHei UI" w:eastAsia="Microsoft YaHei UI" w:hAnsi="Microsoft YaHei UI"/>
      <w:szCs w:val="18"/>
    </w:rPr>
  </w:style>
  <w:style w:type="character" w:customStyle="1" w:styleId="DocumentMapChar">
    <w:name w:val="Document Map Char"/>
    <w:basedOn w:val="DefaultParagraphFont"/>
    <w:link w:val="DocumentMap"/>
    <w:uiPriority w:val="99"/>
    <w:semiHidden/>
    <w:rsid w:val="00EE4C8D"/>
    <w:rPr>
      <w:rFonts w:ascii="Microsoft YaHei UI" w:eastAsia="Microsoft YaHei UI" w:hAnsi="Microsoft YaHei UI"/>
      <w:sz w:val="18"/>
      <w:szCs w:val="18"/>
    </w:rPr>
  </w:style>
  <w:style w:type="character" w:customStyle="1" w:styleId="Heading5Char">
    <w:name w:val="Heading 5 Char"/>
    <w:basedOn w:val="DefaultParagraphFont"/>
    <w:link w:val="Heading5"/>
    <w:uiPriority w:val="9"/>
    <w:semiHidden/>
    <w:rsid w:val="00EE4C8D"/>
    <w:rPr>
      <w:rFonts w:ascii="Century Gothic" w:eastAsiaTheme="majorEastAsia" w:hAnsi="Century Gothic" w:cstheme="majorBidi"/>
      <w:color w:val="548AB7" w:themeColor="accent1" w:themeShade="BF"/>
      <w:sz w:val="18"/>
      <w:szCs w:val="22"/>
    </w:rPr>
  </w:style>
  <w:style w:type="character" w:customStyle="1" w:styleId="Heading6Char">
    <w:name w:val="Heading 6 Char"/>
    <w:basedOn w:val="DefaultParagraphFont"/>
    <w:link w:val="Heading6"/>
    <w:uiPriority w:val="9"/>
    <w:rsid w:val="00EE4C8D"/>
    <w:rPr>
      <w:rFonts w:ascii="Century Gothic" w:eastAsiaTheme="majorEastAsia" w:hAnsi="Century Gothic" w:cstheme="majorBidi"/>
      <w:color w:val="345C7D" w:themeColor="accent1" w:themeShade="7F"/>
      <w:sz w:val="18"/>
      <w:szCs w:val="22"/>
    </w:rPr>
  </w:style>
  <w:style w:type="character" w:customStyle="1" w:styleId="Heading7Char">
    <w:name w:val="Heading 7 Char"/>
    <w:basedOn w:val="DefaultParagraphFont"/>
    <w:link w:val="Heading7"/>
    <w:uiPriority w:val="9"/>
    <w:semiHidden/>
    <w:rsid w:val="00EE4C8D"/>
    <w:rPr>
      <w:rFonts w:ascii="Century Gothic" w:eastAsiaTheme="majorEastAsia" w:hAnsi="Century Gothic" w:cstheme="majorBidi"/>
      <w:i/>
      <w:iCs/>
      <w:color w:val="345C7D" w:themeColor="accent1" w:themeShade="7F"/>
      <w:sz w:val="18"/>
      <w:szCs w:val="22"/>
    </w:rPr>
  </w:style>
  <w:style w:type="character" w:customStyle="1" w:styleId="Heading8Char">
    <w:name w:val="Heading 8 Char"/>
    <w:basedOn w:val="DefaultParagraphFont"/>
    <w:link w:val="Heading8"/>
    <w:uiPriority w:val="9"/>
    <w:semiHidden/>
    <w:rsid w:val="00EE4C8D"/>
    <w:rPr>
      <w:rFonts w:ascii="Century Gothic" w:eastAsiaTheme="majorEastAsia" w:hAnsi="Century Gothic"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E4C8D"/>
    <w:rPr>
      <w:rFonts w:ascii="Century Gothic" w:eastAsiaTheme="majorEastAsia" w:hAnsi="Century Gothic" w:cstheme="majorBidi"/>
      <w:i/>
      <w:iCs/>
      <w:color w:val="272727" w:themeColor="text1" w:themeTint="D8"/>
      <w:sz w:val="21"/>
      <w:szCs w:val="21"/>
    </w:rPr>
  </w:style>
  <w:style w:type="numbering" w:styleId="ArticleSection">
    <w:name w:val="Outline List 3"/>
    <w:basedOn w:val="NoList"/>
    <w:uiPriority w:val="99"/>
    <w:semiHidden/>
    <w:unhideWhenUsed/>
    <w:rsid w:val="00EE4C8D"/>
    <w:pPr>
      <w:numPr>
        <w:numId w:val="13"/>
      </w:numPr>
    </w:pPr>
  </w:style>
  <w:style w:type="table" w:customStyle="1" w:styleId="Tablanormal11">
    <w:name w:val="Tabla normal 11"/>
    <w:basedOn w:val="TableNormal"/>
    <w:uiPriority w:val="41"/>
    <w:rsid w:val="00EE4C8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EE4C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eNormal"/>
    <w:uiPriority w:val="43"/>
    <w:rsid w:val="00EE4C8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eNormal"/>
    <w:uiPriority w:val="44"/>
    <w:rsid w:val="00EE4C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eNormal"/>
    <w:uiPriority w:val="45"/>
    <w:rsid w:val="00EE4C8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EE4C8D"/>
    <w:rPr>
      <w:rFonts w:ascii="Century Gothic" w:hAnsi="Century Gothic"/>
      <w:sz w:val="18"/>
      <w:szCs w:val="22"/>
    </w:rPr>
  </w:style>
  <w:style w:type="character" w:styleId="IntenseReference">
    <w:name w:val="Intense Reference"/>
    <w:basedOn w:val="DefaultParagraphFont"/>
    <w:uiPriority w:val="32"/>
    <w:qFormat/>
    <w:rsid w:val="00EE4C8D"/>
    <w:rPr>
      <w:rFonts w:ascii="Century Gothic" w:hAnsi="Century Gothic"/>
      <w:b/>
      <w:bCs/>
      <w:smallCaps/>
      <w:color w:val="94B6D2" w:themeColor="accent1"/>
      <w:spacing w:val="5"/>
    </w:rPr>
  </w:style>
  <w:style w:type="paragraph" w:styleId="IntenseQuote">
    <w:name w:val="Intense Quote"/>
    <w:basedOn w:val="Normal"/>
    <w:next w:val="Normal"/>
    <w:link w:val="IntenseQuoteChar"/>
    <w:uiPriority w:val="30"/>
    <w:qFormat/>
    <w:rsid w:val="00EE4C8D"/>
    <w:pPr>
      <w:pBdr>
        <w:top w:val="single" w:sz="4" w:space="10" w:color="94B6D2" w:themeColor="accent1"/>
        <w:bottom w:val="single" w:sz="4" w:space="10" w:color="94B6D2" w:themeColor="accent1"/>
      </w:pBdr>
      <w:spacing w:before="360" w:after="360"/>
      <w:ind w:left="864" w:right="864"/>
      <w:jc w:val="center"/>
    </w:pPr>
    <w:rPr>
      <w:i/>
      <w:iCs/>
      <w:color w:val="94B6D2" w:themeColor="accent1"/>
    </w:rPr>
  </w:style>
  <w:style w:type="character" w:customStyle="1" w:styleId="IntenseQuoteChar">
    <w:name w:val="Intense Quote Char"/>
    <w:basedOn w:val="DefaultParagraphFont"/>
    <w:link w:val="IntenseQuote"/>
    <w:uiPriority w:val="30"/>
    <w:rsid w:val="00EE4C8D"/>
    <w:rPr>
      <w:rFonts w:ascii="Century Gothic" w:hAnsi="Century Gothic"/>
      <w:i/>
      <w:iCs/>
      <w:color w:val="94B6D2" w:themeColor="accent1"/>
      <w:sz w:val="18"/>
      <w:szCs w:val="22"/>
    </w:rPr>
  </w:style>
  <w:style w:type="character" w:styleId="IntenseEmphasis">
    <w:name w:val="Intense Emphasis"/>
    <w:basedOn w:val="DefaultParagraphFont"/>
    <w:uiPriority w:val="21"/>
    <w:qFormat/>
    <w:rsid w:val="00EE4C8D"/>
    <w:rPr>
      <w:rFonts w:ascii="Century Gothic" w:hAnsi="Century Gothic"/>
      <w:i/>
      <w:iCs/>
      <w:color w:val="94B6D2" w:themeColor="accent1"/>
    </w:rPr>
  </w:style>
  <w:style w:type="paragraph" w:styleId="NormalWeb">
    <w:name w:val="Normal (Web)"/>
    <w:basedOn w:val="Normal"/>
    <w:uiPriority w:val="99"/>
    <w:unhideWhenUsed/>
    <w:rsid w:val="00EE4C8D"/>
    <w:rPr>
      <w:rFonts w:ascii="Times New Roman" w:hAnsi="Times New Roman" w:cs="Times New Roman"/>
      <w:sz w:val="24"/>
      <w:szCs w:val="24"/>
    </w:rPr>
  </w:style>
  <w:style w:type="character" w:customStyle="1" w:styleId="11">
    <w:name w:val="智能超链接1"/>
    <w:basedOn w:val="DefaultParagraphFont"/>
    <w:uiPriority w:val="99"/>
    <w:semiHidden/>
    <w:unhideWhenUsed/>
    <w:rsid w:val="00EE4C8D"/>
    <w:rPr>
      <w:rFonts w:ascii="Century Gothic" w:hAnsi="Century Gothic"/>
      <w:u w:val="dotted"/>
    </w:rPr>
  </w:style>
  <w:style w:type="character" w:customStyle="1" w:styleId="12">
    <w:name w:val="未处理的提及1"/>
    <w:basedOn w:val="DefaultParagraphFont"/>
    <w:uiPriority w:val="99"/>
    <w:semiHidden/>
    <w:unhideWhenUsed/>
    <w:rsid w:val="00EE4C8D"/>
    <w:rPr>
      <w:rFonts w:ascii="Century Gothic" w:hAnsi="Century Gothic"/>
      <w:color w:val="605E5C"/>
      <w:shd w:val="clear" w:color="auto" w:fill="E1DFDD"/>
    </w:rPr>
  </w:style>
  <w:style w:type="paragraph" w:styleId="BodyText">
    <w:name w:val="Body Text"/>
    <w:basedOn w:val="Normal"/>
    <w:link w:val="BodyTextChar"/>
    <w:uiPriority w:val="99"/>
    <w:unhideWhenUsed/>
    <w:qFormat/>
    <w:rsid w:val="00EE4C8D"/>
    <w:pPr>
      <w:spacing w:after="120"/>
    </w:pPr>
  </w:style>
  <w:style w:type="character" w:customStyle="1" w:styleId="BodyTextChar">
    <w:name w:val="Body Text Char"/>
    <w:basedOn w:val="DefaultParagraphFont"/>
    <w:link w:val="BodyText"/>
    <w:uiPriority w:val="99"/>
    <w:rsid w:val="00EE4C8D"/>
    <w:rPr>
      <w:rFonts w:ascii="Century Gothic" w:hAnsi="Century Gothic"/>
      <w:sz w:val="18"/>
      <w:szCs w:val="22"/>
    </w:rPr>
  </w:style>
  <w:style w:type="paragraph" w:styleId="BodyText2">
    <w:name w:val="Body Text 2"/>
    <w:basedOn w:val="Normal"/>
    <w:link w:val="BodyText2Char"/>
    <w:uiPriority w:val="99"/>
    <w:semiHidden/>
    <w:unhideWhenUsed/>
    <w:rsid w:val="00EE4C8D"/>
    <w:pPr>
      <w:spacing w:after="120" w:line="480" w:lineRule="auto"/>
    </w:pPr>
  </w:style>
  <w:style w:type="character" w:customStyle="1" w:styleId="BodyText2Char">
    <w:name w:val="Body Text 2 Char"/>
    <w:basedOn w:val="DefaultParagraphFont"/>
    <w:link w:val="BodyText2"/>
    <w:uiPriority w:val="99"/>
    <w:semiHidden/>
    <w:rsid w:val="00EE4C8D"/>
    <w:rPr>
      <w:rFonts w:ascii="Century Gothic" w:hAnsi="Century Gothic"/>
      <w:sz w:val="18"/>
      <w:szCs w:val="22"/>
    </w:rPr>
  </w:style>
  <w:style w:type="paragraph" w:styleId="BodyText3">
    <w:name w:val="Body Text 3"/>
    <w:basedOn w:val="Normal"/>
    <w:link w:val="BodyText3Char"/>
    <w:uiPriority w:val="99"/>
    <w:semiHidden/>
    <w:unhideWhenUsed/>
    <w:rsid w:val="00EE4C8D"/>
    <w:pPr>
      <w:spacing w:after="120"/>
    </w:pPr>
    <w:rPr>
      <w:sz w:val="16"/>
      <w:szCs w:val="16"/>
    </w:rPr>
  </w:style>
  <w:style w:type="character" w:customStyle="1" w:styleId="BodyText3Char">
    <w:name w:val="Body Text 3 Char"/>
    <w:basedOn w:val="DefaultParagraphFont"/>
    <w:link w:val="BodyText3"/>
    <w:uiPriority w:val="99"/>
    <w:semiHidden/>
    <w:rsid w:val="00EE4C8D"/>
    <w:rPr>
      <w:rFonts w:ascii="Century Gothic" w:hAnsi="Century Gothic"/>
      <w:sz w:val="16"/>
      <w:szCs w:val="16"/>
    </w:rPr>
  </w:style>
  <w:style w:type="paragraph" w:styleId="BodyTextIndent">
    <w:name w:val="Body Text Indent"/>
    <w:basedOn w:val="Normal"/>
    <w:link w:val="BodyTextIndentChar"/>
    <w:uiPriority w:val="99"/>
    <w:semiHidden/>
    <w:unhideWhenUsed/>
    <w:rsid w:val="00EE4C8D"/>
    <w:pPr>
      <w:spacing w:after="120"/>
      <w:ind w:left="360"/>
    </w:pPr>
  </w:style>
  <w:style w:type="character" w:customStyle="1" w:styleId="BodyTextIndentChar">
    <w:name w:val="Body Text Indent Char"/>
    <w:basedOn w:val="DefaultParagraphFont"/>
    <w:link w:val="BodyTextIndent"/>
    <w:uiPriority w:val="99"/>
    <w:semiHidden/>
    <w:rsid w:val="00EE4C8D"/>
    <w:rPr>
      <w:rFonts w:ascii="Century Gothic" w:hAnsi="Century Gothic"/>
      <w:sz w:val="18"/>
      <w:szCs w:val="22"/>
    </w:rPr>
  </w:style>
  <w:style w:type="paragraph" w:styleId="BodyTextIndent2">
    <w:name w:val="Body Text Indent 2"/>
    <w:basedOn w:val="Normal"/>
    <w:link w:val="BodyTextIndent2Char"/>
    <w:uiPriority w:val="99"/>
    <w:semiHidden/>
    <w:unhideWhenUsed/>
    <w:rsid w:val="00EE4C8D"/>
    <w:pPr>
      <w:spacing w:after="120" w:line="480" w:lineRule="auto"/>
      <w:ind w:left="360"/>
    </w:pPr>
  </w:style>
  <w:style w:type="character" w:customStyle="1" w:styleId="BodyTextIndent2Char">
    <w:name w:val="Body Text Indent 2 Char"/>
    <w:basedOn w:val="DefaultParagraphFont"/>
    <w:link w:val="BodyTextIndent2"/>
    <w:uiPriority w:val="99"/>
    <w:semiHidden/>
    <w:rsid w:val="00EE4C8D"/>
    <w:rPr>
      <w:rFonts w:ascii="Century Gothic" w:hAnsi="Century Gothic"/>
      <w:sz w:val="18"/>
      <w:szCs w:val="22"/>
    </w:rPr>
  </w:style>
  <w:style w:type="paragraph" w:styleId="BodyTextIndent3">
    <w:name w:val="Body Text Indent 3"/>
    <w:basedOn w:val="Normal"/>
    <w:link w:val="BodyTextIndent3Char"/>
    <w:uiPriority w:val="99"/>
    <w:semiHidden/>
    <w:unhideWhenUsed/>
    <w:rsid w:val="00EE4C8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4C8D"/>
    <w:rPr>
      <w:rFonts w:ascii="Century Gothic" w:hAnsi="Century Gothic"/>
      <w:sz w:val="16"/>
      <w:szCs w:val="16"/>
    </w:rPr>
  </w:style>
  <w:style w:type="paragraph" w:styleId="BodyTextFirstIndent">
    <w:name w:val="Body Text First Indent"/>
    <w:basedOn w:val="BodyText"/>
    <w:link w:val="BodyTextFirstIndentChar"/>
    <w:uiPriority w:val="99"/>
    <w:semiHidden/>
    <w:unhideWhenUsed/>
    <w:rsid w:val="00EE4C8D"/>
    <w:pPr>
      <w:spacing w:after="0"/>
      <w:ind w:firstLine="360"/>
    </w:pPr>
  </w:style>
  <w:style w:type="character" w:customStyle="1" w:styleId="BodyTextFirstIndentChar">
    <w:name w:val="Body Text First Indent Char"/>
    <w:basedOn w:val="BodyTextChar"/>
    <w:link w:val="BodyTextFirstIndent"/>
    <w:uiPriority w:val="99"/>
    <w:semiHidden/>
    <w:rsid w:val="00EE4C8D"/>
    <w:rPr>
      <w:rFonts w:ascii="Century Gothic" w:hAnsi="Century Gothic"/>
      <w:sz w:val="18"/>
      <w:szCs w:val="22"/>
    </w:rPr>
  </w:style>
  <w:style w:type="paragraph" w:styleId="BodyTextFirstIndent2">
    <w:name w:val="Body Text First Indent 2"/>
    <w:basedOn w:val="BodyTextIndent"/>
    <w:link w:val="BodyTextFirstIndent2Char"/>
    <w:uiPriority w:val="99"/>
    <w:semiHidden/>
    <w:unhideWhenUsed/>
    <w:rsid w:val="00EE4C8D"/>
    <w:pPr>
      <w:spacing w:after="0"/>
      <w:ind w:firstLine="360"/>
    </w:pPr>
  </w:style>
  <w:style w:type="character" w:customStyle="1" w:styleId="BodyTextFirstIndent2Char">
    <w:name w:val="Body Text First Indent 2 Char"/>
    <w:basedOn w:val="BodyTextIndentChar"/>
    <w:link w:val="BodyTextFirstIndent2"/>
    <w:uiPriority w:val="99"/>
    <w:semiHidden/>
    <w:rsid w:val="00EE4C8D"/>
    <w:rPr>
      <w:rFonts w:ascii="Century Gothic" w:hAnsi="Century Gothic"/>
      <w:sz w:val="18"/>
      <w:szCs w:val="22"/>
    </w:rPr>
  </w:style>
  <w:style w:type="paragraph" w:styleId="NormalIndent">
    <w:name w:val="Normal Indent"/>
    <w:basedOn w:val="Normal"/>
    <w:uiPriority w:val="99"/>
    <w:semiHidden/>
    <w:unhideWhenUsed/>
    <w:rsid w:val="00EE4C8D"/>
    <w:pPr>
      <w:ind w:left="720"/>
    </w:pPr>
  </w:style>
  <w:style w:type="paragraph" w:styleId="NoteHeading">
    <w:name w:val="Note Heading"/>
    <w:basedOn w:val="Normal"/>
    <w:next w:val="Normal"/>
    <w:link w:val="NoteHeadingChar"/>
    <w:uiPriority w:val="99"/>
    <w:semiHidden/>
    <w:unhideWhenUsed/>
    <w:rsid w:val="00EE4C8D"/>
  </w:style>
  <w:style w:type="character" w:customStyle="1" w:styleId="NoteHeadingChar">
    <w:name w:val="Note Heading Char"/>
    <w:basedOn w:val="DefaultParagraphFont"/>
    <w:link w:val="NoteHeading"/>
    <w:uiPriority w:val="99"/>
    <w:semiHidden/>
    <w:rsid w:val="00EE4C8D"/>
    <w:rPr>
      <w:rFonts w:ascii="Century Gothic" w:hAnsi="Century Gothic"/>
      <w:sz w:val="18"/>
      <w:szCs w:val="22"/>
    </w:rPr>
  </w:style>
  <w:style w:type="table" w:styleId="TableContemporary">
    <w:name w:val="Table Contemporary"/>
    <w:basedOn w:val="TableNormal"/>
    <w:uiPriority w:val="99"/>
    <w:semiHidden/>
    <w:unhideWhenUsed/>
    <w:rsid w:val="00EE4C8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EE4C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E4C8D"/>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pPr>
        <w:spacing w:before="0" w:after="0" w:line="240" w:lineRule="auto"/>
      </w:pPr>
      <w:rPr>
        <w:b/>
        <w:bCs/>
        <w:color w:val="FFFFFF" w:themeColor="background1"/>
      </w:rPr>
      <w:tblPr/>
      <w:tcPr>
        <w:shd w:val="clear" w:color="auto" w:fill="94B6D2" w:themeFill="accent1"/>
      </w:tcPr>
    </w:tblStylePr>
    <w:tblStylePr w:type="lastRow">
      <w:pPr>
        <w:spacing w:before="0" w:after="0" w:line="240" w:lineRule="auto"/>
      </w:pPr>
      <w:rPr>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tcBorders>
      </w:tcPr>
    </w:tblStylePr>
    <w:tblStylePr w:type="firstCol">
      <w:rPr>
        <w:b/>
        <w:bCs/>
      </w:rPr>
    </w:tblStylePr>
    <w:tblStylePr w:type="lastCol">
      <w:rPr>
        <w:b/>
        <w:bCs/>
      </w:r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style>
  <w:style w:type="table" w:styleId="LightList-Accent2">
    <w:name w:val="Light List Accent 2"/>
    <w:basedOn w:val="TableNormal"/>
    <w:uiPriority w:val="61"/>
    <w:semiHidden/>
    <w:unhideWhenUsed/>
    <w:rsid w:val="00EE4C8D"/>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pPr>
        <w:spacing w:before="0" w:after="0" w:line="240" w:lineRule="auto"/>
      </w:pPr>
      <w:rPr>
        <w:b/>
        <w:bCs/>
        <w:color w:val="FFFFFF" w:themeColor="background1"/>
      </w:rPr>
      <w:tblPr/>
      <w:tcPr>
        <w:shd w:val="clear" w:color="auto" w:fill="DD8047" w:themeFill="accent2"/>
      </w:tcPr>
    </w:tblStylePr>
    <w:tblStylePr w:type="lastRow">
      <w:pPr>
        <w:spacing w:before="0" w:after="0" w:line="240" w:lineRule="auto"/>
      </w:pPr>
      <w:rPr>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tcBorders>
      </w:tcPr>
    </w:tblStylePr>
    <w:tblStylePr w:type="firstCol">
      <w:rPr>
        <w:b/>
        <w:bCs/>
      </w:rPr>
    </w:tblStylePr>
    <w:tblStylePr w:type="lastCol">
      <w:rPr>
        <w:b/>
        <w:bCs/>
      </w:r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style>
  <w:style w:type="table" w:styleId="LightList-Accent3">
    <w:name w:val="Light List Accent 3"/>
    <w:basedOn w:val="TableNormal"/>
    <w:uiPriority w:val="61"/>
    <w:semiHidden/>
    <w:unhideWhenUsed/>
    <w:rsid w:val="00EE4C8D"/>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pPr>
        <w:spacing w:before="0" w:after="0" w:line="240" w:lineRule="auto"/>
      </w:pPr>
      <w:rPr>
        <w:b/>
        <w:bCs/>
        <w:color w:val="FFFFFF" w:themeColor="background1"/>
      </w:rPr>
      <w:tblPr/>
      <w:tcPr>
        <w:shd w:val="clear" w:color="auto" w:fill="A5AB81" w:themeFill="accent3"/>
      </w:tcPr>
    </w:tblStylePr>
    <w:tblStylePr w:type="lastRow">
      <w:pPr>
        <w:spacing w:before="0" w:after="0" w:line="240" w:lineRule="auto"/>
      </w:pPr>
      <w:rPr>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tcBorders>
      </w:tcPr>
    </w:tblStylePr>
    <w:tblStylePr w:type="firstCol">
      <w:rPr>
        <w:b/>
        <w:bCs/>
      </w:rPr>
    </w:tblStylePr>
    <w:tblStylePr w:type="lastCol">
      <w:rPr>
        <w:b/>
        <w:bCs/>
      </w:r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style>
  <w:style w:type="table" w:styleId="LightList-Accent4">
    <w:name w:val="Light List Accent 4"/>
    <w:basedOn w:val="TableNormal"/>
    <w:uiPriority w:val="61"/>
    <w:semiHidden/>
    <w:unhideWhenUsed/>
    <w:rsid w:val="00EE4C8D"/>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pPr>
        <w:spacing w:before="0" w:after="0" w:line="240" w:lineRule="auto"/>
      </w:pPr>
      <w:rPr>
        <w:b/>
        <w:bCs/>
        <w:color w:val="FFFFFF" w:themeColor="background1"/>
      </w:rPr>
      <w:tblPr/>
      <w:tcPr>
        <w:shd w:val="clear" w:color="auto" w:fill="D8B25C" w:themeFill="accent4"/>
      </w:tcPr>
    </w:tblStylePr>
    <w:tblStylePr w:type="lastRow">
      <w:pPr>
        <w:spacing w:before="0" w:after="0" w:line="240" w:lineRule="auto"/>
      </w:pPr>
      <w:rPr>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tcBorders>
      </w:tcPr>
    </w:tblStylePr>
    <w:tblStylePr w:type="firstCol">
      <w:rPr>
        <w:b/>
        <w:bCs/>
      </w:rPr>
    </w:tblStylePr>
    <w:tblStylePr w:type="lastCol">
      <w:rPr>
        <w:b/>
        <w:bCs/>
      </w:r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style>
  <w:style w:type="table" w:styleId="LightList-Accent5">
    <w:name w:val="Light List Accent 5"/>
    <w:basedOn w:val="TableNormal"/>
    <w:uiPriority w:val="61"/>
    <w:semiHidden/>
    <w:unhideWhenUsed/>
    <w:rsid w:val="00EE4C8D"/>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styleId="LightList-Accent6">
    <w:name w:val="Light List Accent 6"/>
    <w:basedOn w:val="TableNormal"/>
    <w:uiPriority w:val="61"/>
    <w:semiHidden/>
    <w:unhideWhenUsed/>
    <w:rsid w:val="00EE4C8D"/>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pPr>
        <w:spacing w:before="0" w:after="0" w:line="240" w:lineRule="auto"/>
      </w:pPr>
      <w:rPr>
        <w:b/>
        <w:bCs/>
        <w:color w:val="FFFFFF" w:themeColor="background1"/>
      </w:rPr>
      <w:tblPr/>
      <w:tcPr>
        <w:shd w:val="clear" w:color="auto" w:fill="968C8C" w:themeFill="accent6"/>
      </w:tcPr>
    </w:tblStylePr>
    <w:tblStylePr w:type="lastRow">
      <w:pPr>
        <w:spacing w:before="0" w:after="0" w:line="240" w:lineRule="auto"/>
      </w:pPr>
      <w:rPr>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tcBorders>
      </w:tcPr>
    </w:tblStylePr>
    <w:tblStylePr w:type="firstCol">
      <w:rPr>
        <w:b/>
        <w:bCs/>
      </w:rPr>
    </w:tblStylePr>
    <w:tblStylePr w:type="lastCol">
      <w:rPr>
        <w:b/>
        <w:bCs/>
      </w:r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style>
  <w:style w:type="table" w:styleId="LightShading">
    <w:name w:val="Light Shading"/>
    <w:basedOn w:val="TableNormal"/>
    <w:uiPriority w:val="60"/>
    <w:semiHidden/>
    <w:unhideWhenUsed/>
    <w:rsid w:val="00EE4C8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E4C8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styleId="LightShading-Accent2">
    <w:name w:val="Light Shading Accent 2"/>
    <w:basedOn w:val="TableNormal"/>
    <w:uiPriority w:val="60"/>
    <w:semiHidden/>
    <w:unhideWhenUsed/>
    <w:rsid w:val="00EE4C8D"/>
    <w:rPr>
      <w:color w:val="B85A22" w:themeColor="accent2" w:themeShade="BF"/>
    </w:rPr>
    <w:tblPr>
      <w:tblStyleRowBandSize w:val="1"/>
      <w:tblStyleColBandSize w:val="1"/>
      <w:tblBorders>
        <w:top w:val="single" w:sz="8" w:space="0" w:color="DD8047" w:themeColor="accent2"/>
        <w:bottom w:val="single" w:sz="8" w:space="0" w:color="DD8047" w:themeColor="accent2"/>
      </w:tblBorders>
    </w:tblPr>
    <w:tblStylePr w:type="fir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la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left w:val="nil"/>
          <w:right w:val="nil"/>
          <w:insideH w:val="nil"/>
          <w:insideV w:val="nil"/>
        </w:tcBorders>
        <w:shd w:val="clear" w:color="auto" w:fill="F6DFD1" w:themeFill="accent2" w:themeFillTint="3F"/>
      </w:tcPr>
    </w:tblStylePr>
  </w:style>
  <w:style w:type="table" w:styleId="LightShading-Accent3">
    <w:name w:val="Light Shading Accent 3"/>
    <w:basedOn w:val="TableNormal"/>
    <w:uiPriority w:val="60"/>
    <w:semiHidden/>
    <w:unhideWhenUsed/>
    <w:rsid w:val="00EE4C8D"/>
    <w:rPr>
      <w:color w:val="80865A" w:themeColor="accent3" w:themeShade="BF"/>
    </w:rPr>
    <w:tblPr>
      <w:tblStyleRowBandSize w:val="1"/>
      <w:tblStyleColBandSize w:val="1"/>
      <w:tblBorders>
        <w:top w:val="single" w:sz="8" w:space="0" w:color="A5AB81" w:themeColor="accent3"/>
        <w:bottom w:val="single" w:sz="8" w:space="0" w:color="A5AB81" w:themeColor="accent3"/>
      </w:tblBorders>
    </w:tblPr>
    <w:tblStylePr w:type="fir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la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left w:val="nil"/>
          <w:right w:val="nil"/>
          <w:insideH w:val="nil"/>
          <w:insideV w:val="nil"/>
        </w:tcBorders>
        <w:shd w:val="clear" w:color="auto" w:fill="E8EADF" w:themeFill="accent3" w:themeFillTint="3F"/>
      </w:tcPr>
    </w:tblStylePr>
  </w:style>
  <w:style w:type="table" w:styleId="LightShading-Accent4">
    <w:name w:val="Light Shading Accent 4"/>
    <w:basedOn w:val="TableNormal"/>
    <w:uiPriority w:val="60"/>
    <w:semiHidden/>
    <w:unhideWhenUsed/>
    <w:rsid w:val="00EE4C8D"/>
    <w:rPr>
      <w:color w:val="BA8E2C" w:themeColor="accent4" w:themeShade="BF"/>
    </w:rPr>
    <w:tblPr>
      <w:tblStyleRowBandSize w:val="1"/>
      <w:tblStyleColBandSize w:val="1"/>
      <w:tblBorders>
        <w:top w:val="single" w:sz="8" w:space="0" w:color="D8B25C" w:themeColor="accent4"/>
        <w:bottom w:val="single" w:sz="8" w:space="0" w:color="D8B25C" w:themeColor="accent4"/>
      </w:tblBorders>
    </w:tblPr>
    <w:tblStylePr w:type="fir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la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left w:val="nil"/>
          <w:right w:val="nil"/>
          <w:insideH w:val="nil"/>
          <w:insideV w:val="nil"/>
        </w:tcBorders>
        <w:shd w:val="clear" w:color="auto" w:fill="F5EBD6" w:themeFill="accent4" w:themeFillTint="3F"/>
      </w:tcPr>
    </w:tblStylePr>
  </w:style>
  <w:style w:type="table" w:styleId="LightShading-Accent5">
    <w:name w:val="Light Shading Accent 5"/>
    <w:basedOn w:val="TableNormal"/>
    <w:uiPriority w:val="60"/>
    <w:semiHidden/>
    <w:unhideWhenUsed/>
    <w:rsid w:val="00EE4C8D"/>
    <w:rPr>
      <w:color w:val="568278" w:themeColor="accent5" w:themeShade="BF"/>
    </w:rPr>
    <w:tblPr>
      <w:tblStyleRowBandSize w:val="1"/>
      <w:tblStyleColBandSize w:val="1"/>
      <w:tblBorders>
        <w:top w:val="single" w:sz="8" w:space="0" w:color="7BA79D" w:themeColor="accent5"/>
        <w:bottom w:val="single" w:sz="8" w:space="0" w:color="7BA79D" w:themeColor="accent5"/>
      </w:tblBorders>
    </w:tblPr>
    <w:tblStylePr w:type="fir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la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left w:val="nil"/>
          <w:right w:val="nil"/>
          <w:insideH w:val="nil"/>
          <w:insideV w:val="nil"/>
        </w:tcBorders>
        <w:shd w:val="clear" w:color="auto" w:fill="DEE9E6" w:themeFill="accent5" w:themeFillTint="3F"/>
      </w:tcPr>
    </w:tblStylePr>
  </w:style>
  <w:style w:type="table" w:styleId="LightShading-Accent6">
    <w:name w:val="Light Shading Accent 6"/>
    <w:basedOn w:val="TableNormal"/>
    <w:uiPriority w:val="60"/>
    <w:semiHidden/>
    <w:unhideWhenUsed/>
    <w:rsid w:val="00EE4C8D"/>
    <w:rPr>
      <w:color w:val="716767" w:themeColor="accent6" w:themeShade="BF"/>
    </w:rPr>
    <w:tblPr>
      <w:tblStyleRowBandSize w:val="1"/>
      <w:tblStyleColBandSize w:val="1"/>
      <w:tblBorders>
        <w:top w:val="single" w:sz="8" w:space="0" w:color="968C8C" w:themeColor="accent6"/>
        <w:bottom w:val="single" w:sz="8" w:space="0" w:color="968C8C" w:themeColor="accent6"/>
      </w:tblBorders>
    </w:tblPr>
    <w:tblStylePr w:type="fir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la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left w:val="nil"/>
          <w:right w:val="nil"/>
          <w:insideH w:val="nil"/>
          <w:insideV w:val="nil"/>
        </w:tcBorders>
        <w:shd w:val="clear" w:color="auto" w:fill="E5E2E2" w:themeFill="accent6" w:themeFillTint="3F"/>
      </w:tcPr>
    </w:tblStylePr>
  </w:style>
  <w:style w:type="table" w:styleId="LightGrid">
    <w:name w:val="Light Grid"/>
    <w:basedOn w:val="TableNormal"/>
    <w:uiPriority w:val="62"/>
    <w:semiHidden/>
    <w:unhideWhenUsed/>
    <w:rsid w:val="00EE4C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E4C8D"/>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Grid-Accent2">
    <w:name w:val="Light Grid Accent 2"/>
    <w:basedOn w:val="TableNormal"/>
    <w:uiPriority w:val="62"/>
    <w:semiHidden/>
    <w:unhideWhenUsed/>
    <w:rsid w:val="00EE4C8D"/>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 w:type="table" w:styleId="LightGrid-Accent3">
    <w:name w:val="Light Grid Accent 3"/>
    <w:basedOn w:val="TableNormal"/>
    <w:uiPriority w:val="62"/>
    <w:semiHidden/>
    <w:unhideWhenUsed/>
    <w:rsid w:val="00EE4C8D"/>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table" w:styleId="LightGrid-Accent4">
    <w:name w:val="Light Grid Accent 4"/>
    <w:basedOn w:val="TableNormal"/>
    <w:uiPriority w:val="62"/>
    <w:semiHidden/>
    <w:unhideWhenUsed/>
    <w:rsid w:val="00EE4C8D"/>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18" w:space="0" w:color="D8B25C" w:themeColor="accent4"/>
          <w:right w:val="single" w:sz="8" w:space="0" w:color="D8B25C" w:themeColor="accent4"/>
          <w:insideH w:val="nil"/>
          <w:insideV w:val="single" w:sz="8" w:space="0" w:color="D8B25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insideH w:val="nil"/>
          <w:insideV w:val="single" w:sz="8" w:space="0" w:color="D8B25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shd w:val="clear" w:color="auto" w:fill="F5EBD6" w:themeFill="accent4" w:themeFillTint="3F"/>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shd w:val="clear" w:color="auto" w:fill="F5EBD6" w:themeFill="accent4" w:themeFillTint="3F"/>
      </w:tcPr>
    </w:tblStylePr>
    <w:tblStylePr w:type="band2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tcPr>
    </w:tblStylePr>
  </w:style>
  <w:style w:type="table" w:styleId="LightGrid-Accent5">
    <w:name w:val="Light Grid Accent 5"/>
    <w:basedOn w:val="TableNormal"/>
    <w:uiPriority w:val="62"/>
    <w:semiHidden/>
    <w:unhideWhenUsed/>
    <w:rsid w:val="00EE4C8D"/>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18" w:space="0" w:color="7BA79D" w:themeColor="accent5"/>
          <w:right w:val="single" w:sz="8" w:space="0" w:color="7BA79D" w:themeColor="accent5"/>
          <w:insideH w:val="nil"/>
          <w:insideV w:val="single" w:sz="8" w:space="0" w:color="7BA7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insideH w:val="nil"/>
          <w:insideV w:val="single" w:sz="8" w:space="0" w:color="7BA7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shd w:val="clear" w:color="auto" w:fill="DEE9E6" w:themeFill="accent5" w:themeFillTint="3F"/>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shd w:val="clear" w:color="auto" w:fill="DEE9E6" w:themeFill="accent5" w:themeFillTint="3F"/>
      </w:tcPr>
    </w:tblStylePr>
    <w:tblStylePr w:type="band2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tcPr>
    </w:tblStylePr>
  </w:style>
  <w:style w:type="table" w:styleId="LightGrid-Accent6">
    <w:name w:val="Light Grid Accent 6"/>
    <w:basedOn w:val="TableNormal"/>
    <w:uiPriority w:val="62"/>
    <w:semiHidden/>
    <w:unhideWhenUsed/>
    <w:rsid w:val="00EE4C8D"/>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18" w:space="0" w:color="968C8C" w:themeColor="accent6"/>
          <w:right w:val="single" w:sz="8" w:space="0" w:color="968C8C" w:themeColor="accent6"/>
          <w:insideH w:val="nil"/>
          <w:insideV w:val="single" w:sz="8" w:space="0" w:color="968C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insideH w:val="nil"/>
          <w:insideV w:val="single" w:sz="8" w:space="0" w:color="968C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shd w:val="clear" w:color="auto" w:fill="E5E2E2" w:themeFill="accent6" w:themeFillTint="3F"/>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shd w:val="clear" w:color="auto" w:fill="E5E2E2" w:themeFill="accent6" w:themeFillTint="3F"/>
      </w:tcPr>
    </w:tblStylePr>
    <w:tblStylePr w:type="band2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tcPr>
    </w:tblStylePr>
  </w:style>
  <w:style w:type="table" w:styleId="DarkList">
    <w:name w:val="Dark List"/>
    <w:basedOn w:val="TableNormal"/>
    <w:uiPriority w:val="70"/>
    <w:semiHidden/>
    <w:unhideWhenUsed/>
    <w:rsid w:val="00EE4C8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E4C8D"/>
    <w:rPr>
      <w:color w:val="FFFFFF" w:themeColor="background1"/>
    </w:rPr>
    <w:tblPr>
      <w:tblStyleRowBandSize w:val="1"/>
      <w:tblStyleColBandSize w:val="1"/>
    </w:tblPr>
    <w:tcPr>
      <w:shd w:val="clear" w:color="auto" w:fill="94B6D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C7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8AB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8AB7" w:themeFill="accent1" w:themeFillShade="BF"/>
      </w:tcPr>
    </w:tblStylePr>
    <w:tblStylePr w:type="band1Vert">
      <w:tblPr/>
      <w:tcPr>
        <w:tcBorders>
          <w:top w:val="nil"/>
          <w:left w:val="nil"/>
          <w:bottom w:val="nil"/>
          <w:right w:val="nil"/>
          <w:insideH w:val="nil"/>
          <w:insideV w:val="nil"/>
        </w:tcBorders>
        <w:shd w:val="clear" w:color="auto" w:fill="548AB7" w:themeFill="accent1" w:themeFillShade="BF"/>
      </w:tcPr>
    </w:tblStylePr>
    <w:tblStylePr w:type="band1Horz">
      <w:tblPr/>
      <w:tcPr>
        <w:tcBorders>
          <w:top w:val="nil"/>
          <w:left w:val="nil"/>
          <w:bottom w:val="nil"/>
          <w:right w:val="nil"/>
          <w:insideH w:val="nil"/>
          <w:insideV w:val="nil"/>
        </w:tcBorders>
        <w:shd w:val="clear" w:color="auto" w:fill="548AB7" w:themeFill="accent1" w:themeFillShade="BF"/>
      </w:tcPr>
    </w:tblStylePr>
  </w:style>
  <w:style w:type="table" w:styleId="DarkList-Accent2">
    <w:name w:val="Dark List Accent 2"/>
    <w:basedOn w:val="TableNormal"/>
    <w:uiPriority w:val="70"/>
    <w:semiHidden/>
    <w:unhideWhenUsed/>
    <w:rsid w:val="00EE4C8D"/>
    <w:rPr>
      <w:color w:val="FFFFFF" w:themeColor="background1"/>
    </w:rPr>
    <w:tblPr>
      <w:tblStyleRowBandSize w:val="1"/>
      <w:tblStyleColBandSize w:val="1"/>
    </w:tblPr>
    <w:tcPr>
      <w:shd w:val="clear" w:color="auto" w:fill="DD80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C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85A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85A22" w:themeFill="accent2" w:themeFillShade="BF"/>
      </w:tcPr>
    </w:tblStylePr>
    <w:tblStylePr w:type="band1Vert">
      <w:tblPr/>
      <w:tcPr>
        <w:tcBorders>
          <w:top w:val="nil"/>
          <w:left w:val="nil"/>
          <w:bottom w:val="nil"/>
          <w:right w:val="nil"/>
          <w:insideH w:val="nil"/>
          <w:insideV w:val="nil"/>
        </w:tcBorders>
        <w:shd w:val="clear" w:color="auto" w:fill="B85A22" w:themeFill="accent2" w:themeFillShade="BF"/>
      </w:tcPr>
    </w:tblStylePr>
    <w:tblStylePr w:type="band1Horz">
      <w:tblPr/>
      <w:tcPr>
        <w:tcBorders>
          <w:top w:val="nil"/>
          <w:left w:val="nil"/>
          <w:bottom w:val="nil"/>
          <w:right w:val="nil"/>
          <w:insideH w:val="nil"/>
          <w:insideV w:val="nil"/>
        </w:tcBorders>
        <w:shd w:val="clear" w:color="auto" w:fill="B85A22" w:themeFill="accent2" w:themeFillShade="BF"/>
      </w:tcPr>
    </w:tblStylePr>
  </w:style>
  <w:style w:type="table" w:styleId="DarkList-Accent3">
    <w:name w:val="Dark List Accent 3"/>
    <w:basedOn w:val="TableNormal"/>
    <w:uiPriority w:val="70"/>
    <w:semiHidden/>
    <w:unhideWhenUsed/>
    <w:rsid w:val="00EE4C8D"/>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DarkList-Accent4">
    <w:name w:val="Dark List Accent 4"/>
    <w:basedOn w:val="TableNormal"/>
    <w:uiPriority w:val="70"/>
    <w:semiHidden/>
    <w:unhideWhenUsed/>
    <w:rsid w:val="00EE4C8D"/>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DarkList-Accent5">
    <w:name w:val="Dark List Accent 5"/>
    <w:basedOn w:val="TableNormal"/>
    <w:uiPriority w:val="70"/>
    <w:semiHidden/>
    <w:unhideWhenUsed/>
    <w:rsid w:val="00EE4C8D"/>
    <w:rPr>
      <w:color w:val="FFFFFF" w:themeColor="background1"/>
    </w:rPr>
    <w:tblPr>
      <w:tblStyleRowBandSize w:val="1"/>
      <w:tblStyleColBandSize w:val="1"/>
    </w:tblPr>
    <w:tcPr>
      <w:shd w:val="clear" w:color="auto" w:fill="7BA7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5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82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8278" w:themeFill="accent5" w:themeFillShade="BF"/>
      </w:tcPr>
    </w:tblStylePr>
    <w:tblStylePr w:type="band1Vert">
      <w:tblPr/>
      <w:tcPr>
        <w:tcBorders>
          <w:top w:val="nil"/>
          <w:left w:val="nil"/>
          <w:bottom w:val="nil"/>
          <w:right w:val="nil"/>
          <w:insideH w:val="nil"/>
          <w:insideV w:val="nil"/>
        </w:tcBorders>
        <w:shd w:val="clear" w:color="auto" w:fill="568278" w:themeFill="accent5" w:themeFillShade="BF"/>
      </w:tcPr>
    </w:tblStylePr>
    <w:tblStylePr w:type="band1Horz">
      <w:tblPr/>
      <w:tcPr>
        <w:tcBorders>
          <w:top w:val="nil"/>
          <w:left w:val="nil"/>
          <w:bottom w:val="nil"/>
          <w:right w:val="nil"/>
          <w:insideH w:val="nil"/>
          <w:insideV w:val="nil"/>
        </w:tcBorders>
        <w:shd w:val="clear" w:color="auto" w:fill="568278" w:themeFill="accent5" w:themeFillShade="BF"/>
      </w:tcPr>
    </w:tblStylePr>
  </w:style>
  <w:style w:type="table" w:styleId="DarkList-Accent6">
    <w:name w:val="Dark List Accent 6"/>
    <w:basedOn w:val="TableNormal"/>
    <w:uiPriority w:val="70"/>
    <w:semiHidden/>
    <w:unhideWhenUsed/>
    <w:rsid w:val="00EE4C8D"/>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table" w:customStyle="1" w:styleId="Tabladelista1clara1">
    <w:name w:val="Tabla de lista 1 clara1"/>
    <w:basedOn w:val="TableNormal"/>
    <w:uiPriority w:val="46"/>
    <w:rsid w:val="00EE4C8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nfasis11">
    <w:name w:val="Tabla de lista 1 clara - Énfasis 11"/>
    <w:basedOn w:val="TableNormal"/>
    <w:uiPriority w:val="46"/>
    <w:rsid w:val="00EE4C8D"/>
    <w:tblPr>
      <w:tblStyleRowBandSize w:val="1"/>
      <w:tblStyleColBandSize w:val="1"/>
    </w:tblPr>
    <w:tblStylePr w:type="firstRow">
      <w:rPr>
        <w:b/>
        <w:bCs/>
      </w:rPr>
      <w:tblPr/>
      <w:tcPr>
        <w:tcBorders>
          <w:bottom w:val="single" w:sz="4" w:space="0" w:color="BED3E4" w:themeColor="accent1" w:themeTint="99"/>
        </w:tcBorders>
      </w:tcPr>
    </w:tblStylePr>
    <w:tblStylePr w:type="lastRow">
      <w:rPr>
        <w:b/>
        <w:bCs/>
      </w:rPr>
      <w:tblPr/>
      <w:tcPr>
        <w:tcBorders>
          <w:top w:val="sing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lista1clara-nfasis21">
    <w:name w:val="Tabla de lista 1 clara - Énfasis 21"/>
    <w:basedOn w:val="TableNormal"/>
    <w:uiPriority w:val="46"/>
    <w:rsid w:val="00EE4C8D"/>
    <w:tblPr>
      <w:tblStyleRowBandSize w:val="1"/>
      <w:tblStyleColBandSize w:val="1"/>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lista1clara-nfasis31">
    <w:name w:val="Tabla de lista 1 clara - Énfasis 31"/>
    <w:basedOn w:val="TableNormal"/>
    <w:uiPriority w:val="46"/>
    <w:rsid w:val="00EE4C8D"/>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lista1clara-nfasis41">
    <w:name w:val="Tabla de lista 1 clara - Énfasis 41"/>
    <w:basedOn w:val="TableNormal"/>
    <w:uiPriority w:val="46"/>
    <w:rsid w:val="00EE4C8D"/>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lista1clara-nfasis51">
    <w:name w:val="Tabla de lista 1 clara - Énfasis 51"/>
    <w:basedOn w:val="TableNormal"/>
    <w:uiPriority w:val="46"/>
    <w:rsid w:val="00EE4C8D"/>
    <w:tblPr>
      <w:tblStyleRowBandSize w:val="1"/>
      <w:tblStyleColBandSize w:val="1"/>
    </w:tblPr>
    <w:tblStylePr w:type="firstRow">
      <w:rPr>
        <w:b/>
        <w:bCs/>
      </w:rPr>
      <w:tblPr/>
      <w:tcPr>
        <w:tcBorders>
          <w:bottom w:val="single" w:sz="4" w:space="0" w:color="AFCAC4" w:themeColor="accent5" w:themeTint="99"/>
        </w:tcBorders>
      </w:tcPr>
    </w:tblStylePr>
    <w:tblStylePr w:type="lastRow">
      <w:rPr>
        <w:b/>
        <w:bCs/>
      </w:rPr>
      <w:tblPr/>
      <w:tcPr>
        <w:tcBorders>
          <w:top w:val="sing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lista1clara-nfasis61">
    <w:name w:val="Tabla de lista 1 clara - Énfasis 61"/>
    <w:basedOn w:val="TableNormal"/>
    <w:uiPriority w:val="46"/>
    <w:rsid w:val="00EE4C8D"/>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lista21">
    <w:name w:val="Tabla de lista 21"/>
    <w:basedOn w:val="TableNormal"/>
    <w:uiPriority w:val="47"/>
    <w:rsid w:val="00EE4C8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nfasis11">
    <w:name w:val="Tabla de lista 2 - Énfasis 11"/>
    <w:basedOn w:val="TableNormal"/>
    <w:uiPriority w:val="47"/>
    <w:rsid w:val="00EE4C8D"/>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lista2-nfasis21">
    <w:name w:val="Tabla de lista 2 - Énfasis 21"/>
    <w:basedOn w:val="TableNormal"/>
    <w:uiPriority w:val="47"/>
    <w:rsid w:val="00EE4C8D"/>
    <w:tblPr>
      <w:tblStyleRowBandSize w:val="1"/>
      <w:tblStyleColBandSize w:val="1"/>
      <w:tblBorders>
        <w:top w:val="single" w:sz="4" w:space="0" w:color="EAB290" w:themeColor="accent2" w:themeTint="99"/>
        <w:bottom w:val="single" w:sz="4" w:space="0" w:color="EAB290" w:themeColor="accent2" w:themeTint="99"/>
        <w:insideH w:val="single" w:sz="4" w:space="0" w:color="EAB2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lista2-nfasis31">
    <w:name w:val="Tabla de lista 2 - Énfasis 31"/>
    <w:basedOn w:val="TableNormal"/>
    <w:uiPriority w:val="47"/>
    <w:rsid w:val="00EE4C8D"/>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lista2-nfasis41">
    <w:name w:val="Tabla de lista 2 - Énfasis 41"/>
    <w:basedOn w:val="TableNormal"/>
    <w:uiPriority w:val="47"/>
    <w:rsid w:val="00EE4C8D"/>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lista2-nfasis51">
    <w:name w:val="Tabla de lista 2 - Énfasis 51"/>
    <w:basedOn w:val="TableNormal"/>
    <w:uiPriority w:val="47"/>
    <w:rsid w:val="00EE4C8D"/>
    <w:tblPr>
      <w:tblStyleRowBandSize w:val="1"/>
      <w:tblStyleColBandSize w:val="1"/>
      <w:tblBorders>
        <w:top w:val="single" w:sz="4" w:space="0" w:color="AFCAC4" w:themeColor="accent5" w:themeTint="99"/>
        <w:bottom w:val="single" w:sz="4" w:space="0" w:color="AFCAC4" w:themeColor="accent5" w:themeTint="99"/>
        <w:insideH w:val="single" w:sz="4" w:space="0" w:color="AFCAC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lista2-nfasis61">
    <w:name w:val="Tabla de lista 2 - Énfasis 61"/>
    <w:basedOn w:val="TableNormal"/>
    <w:uiPriority w:val="47"/>
    <w:rsid w:val="00EE4C8D"/>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lista31">
    <w:name w:val="Tabla de lista 31"/>
    <w:basedOn w:val="TableNormal"/>
    <w:uiPriority w:val="48"/>
    <w:rsid w:val="00EE4C8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nfasis11">
    <w:name w:val="Tabla de lista 3 - Énfasis 11"/>
    <w:basedOn w:val="TableNormal"/>
    <w:uiPriority w:val="48"/>
    <w:rsid w:val="00EE4C8D"/>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b/>
        <w:bCs/>
        <w:color w:val="FFFFFF" w:themeColor="background1"/>
      </w:rPr>
      <w:tblPr/>
      <w:tcPr>
        <w:shd w:val="clear" w:color="auto" w:fill="94B6D2" w:themeFill="accent1"/>
      </w:tcPr>
    </w:tblStylePr>
    <w:tblStylePr w:type="lastRow">
      <w:rPr>
        <w:b/>
        <w:bCs/>
      </w:rPr>
      <w:tblPr/>
      <w:tcPr>
        <w:tcBorders>
          <w:top w:val="double" w:sz="4" w:space="0" w:color="94B6D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6D2" w:themeColor="accent1"/>
          <w:right w:val="single" w:sz="4" w:space="0" w:color="94B6D2" w:themeColor="accent1"/>
        </w:tcBorders>
      </w:tcPr>
    </w:tblStylePr>
    <w:tblStylePr w:type="band1Horz">
      <w:tblPr/>
      <w:tcPr>
        <w:tcBorders>
          <w:top w:val="single" w:sz="4" w:space="0" w:color="94B6D2" w:themeColor="accent1"/>
          <w:bottom w:val="single" w:sz="4" w:space="0" w:color="94B6D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themeColor="accent1"/>
          <w:left w:val="nil"/>
        </w:tcBorders>
      </w:tcPr>
    </w:tblStylePr>
    <w:tblStylePr w:type="swCell">
      <w:tblPr/>
      <w:tcPr>
        <w:tcBorders>
          <w:top w:val="double" w:sz="4" w:space="0" w:color="94B6D2" w:themeColor="accent1"/>
          <w:right w:val="nil"/>
        </w:tcBorders>
      </w:tcPr>
    </w:tblStylePr>
  </w:style>
  <w:style w:type="table" w:customStyle="1" w:styleId="Tabladelista3-nfasis21">
    <w:name w:val="Tabla de lista 3 - Énfasis 21"/>
    <w:basedOn w:val="TableNormal"/>
    <w:uiPriority w:val="48"/>
    <w:rsid w:val="00EE4C8D"/>
    <w:tblPr>
      <w:tblStyleRowBandSize w:val="1"/>
      <w:tblStyleColBandSize w:val="1"/>
      <w:tblBorders>
        <w:top w:val="single" w:sz="4" w:space="0" w:color="DD8047" w:themeColor="accent2"/>
        <w:left w:val="single" w:sz="4" w:space="0" w:color="DD8047" w:themeColor="accent2"/>
        <w:bottom w:val="single" w:sz="4" w:space="0" w:color="DD8047" w:themeColor="accent2"/>
        <w:right w:val="single" w:sz="4" w:space="0" w:color="DD8047" w:themeColor="accent2"/>
      </w:tblBorders>
    </w:tblPr>
    <w:tblStylePr w:type="firstRow">
      <w:rPr>
        <w:b/>
        <w:bCs/>
        <w:color w:val="FFFFFF" w:themeColor="background1"/>
      </w:rPr>
      <w:tblPr/>
      <w:tcPr>
        <w:shd w:val="clear" w:color="auto" w:fill="DD8047" w:themeFill="accent2"/>
      </w:tcPr>
    </w:tblStylePr>
    <w:tblStylePr w:type="lastRow">
      <w:rPr>
        <w:b/>
        <w:bCs/>
      </w:rPr>
      <w:tblPr/>
      <w:tcPr>
        <w:tcBorders>
          <w:top w:val="double" w:sz="4" w:space="0" w:color="DD80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8047" w:themeColor="accent2"/>
          <w:right w:val="single" w:sz="4" w:space="0" w:color="DD8047" w:themeColor="accent2"/>
        </w:tcBorders>
      </w:tcPr>
    </w:tblStylePr>
    <w:tblStylePr w:type="band1Horz">
      <w:tblPr/>
      <w:tcPr>
        <w:tcBorders>
          <w:top w:val="single" w:sz="4" w:space="0" w:color="DD8047" w:themeColor="accent2"/>
          <w:bottom w:val="single" w:sz="4" w:space="0" w:color="DD80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themeColor="accent2"/>
          <w:left w:val="nil"/>
        </w:tcBorders>
      </w:tcPr>
    </w:tblStylePr>
    <w:tblStylePr w:type="swCell">
      <w:tblPr/>
      <w:tcPr>
        <w:tcBorders>
          <w:top w:val="double" w:sz="4" w:space="0" w:color="DD8047" w:themeColor="accent2"/>
          <w:right w:val="nil"/>
        </w:tcBorders>
      </w:tcPr>
    </w:tblStylePr>
  </w:style>
  <w:style w:type="table" w:customStyle="1" w:styleId="Tabladelista3-nfasis31">
    <w:name w:val="Tabla de lista 3 - Énfasis 31"/>
    <w:basedOn w:val="TableNormal"/>
    <w:uiPriority w:val="48"/>
    <w:rsid w:val="00EE4C8D"/>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customStyle="1" w:styleId="Tabladelista3-nfasis41">
    <w:name w:val="Tabla de lista 3 - Énfasis 41"/>
    <w:basedOn w:val="TableNormal"/>
    <w:uiPriority w:val="48"/>
    <w:rsid w:val="00EE4C8D"/>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customStyle="1" w:styleId="Tabladelista3-nfasis51">
    <w:name w:val="Tabla de lista 3 - Énfasis 51"/>
    <w:basedOn w:val="TableNormal"/>
    <w:uiPriority w:val="48"/>
    <w:rsid w:val="00EE4C8D"/>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tblBorders>
    </w:tblPr>
    <w:tblStylePr w:type="firstRow">
      <w:rPr>
        <w:b/>
        <w:bCs/>
        <w:color w:val="FFFFFF" w:themeColor="background1"/>
      </w:rPr>
      <w:tblPr/>
      <w:tcPr>
        <w:shd w:val="clear" w:color="auto" w:fill="7BA79D" w:themeFill="accent5"/>
      </w:tcPr>
    </w:tblStylePr>
    <w:tblStylePr w:type="lastRow">
      <w:rPr>
        <w:b/>
        <w:bCs/>
      </w:rPr>
      <w:tblPr/>
      <w:tcPr>
        <w:tcBorders>
          <w:top w:val="double" w:sz="4" w:space="0" w:color="7BA7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A79D" w:themeColor="accent5"/>
          <w:right w:val="single" w:sz="4" w:space="0" w:color="7BA79D" w:themeColor="accent5"/>
        </w:tcBorders>
      </w:tcPr>
    </w:tblStylePr>
    <w:tblStylePr w:type="band1Horz">
      <w:tblPr/>
      <w:tcPr>
        <w:tcBorders>
          <w:top w:val="single" w:sz="4" w:space="0" w:color="7BA79D" w:themeColor="accent5"/>
          <w:bottom w:val="single" w:sz="4" w:space="0" w:color="7BA7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themeColor="accent5"/>
          <w:left w:val="nil"/>
        </w:tcBorders>
      </w:tcPr>
    </w:tblStylePr>
    <w:tblStylePr w:type="swCell">
      <w:tblPr/>
      <w:tcPr>
        <w:tcBorders>
          <w:top w:val="double" w:sz="4" w:space="0" w:color="7BA79D" w:themeColor="accent5"/>
          <w:right w:val="nil"/>
        </w:tcBorders>
      </w:tcPr>
    </w:tblStylePr>
  </w:style>
  <w:style w:type="table" w:customStyle="1" w:styleId="Tabladelista3-nfasis61">
    <w:name w:val="Tabla de lista 3 - Énfasis 61"/>
    <w:basedOn w:val="TableNormal"/>
    <w:uiPriority w:val="48"/>
    <w:rsid w:val="00EE4C8D"/>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customStyle="1" w:styleId="Tabladelista41">
    <w:name w:val="Tabla de lista 41"/>
    <w:basedOn w:val="TableNormal"/>
    <w:uiPriority w:val="49"/>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4-nfasis11">
    <w:name w:val="Tabla de lista 4 - Énfasis 11"/>
    <w:basedOn w:val="TableNormal"/>
    <w:uiPriority w:val="49"/>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tcBorders>
        <w:shd w:val="clear" w:color="auto" w:fill="94B6D2" w:themeFill="accent1"/>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lista4-nfasis21">
    <w:name w:val="Tabla de lista 4 - Énfasis 21"/>
    <w:basedOn w:val="TableNormal"/>
    <w:uiPriority w:val="49"/>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tcBorders>
        <w:shd w:val="clear" w:color="auto" w:fill="DD8047" w:themeFill="accent2"/>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lista4-nfasis31">
    <w:name w:val="Tabla de lista 4 - Énfasis 31"/>
    <w:basedOn w:val="TableNormal"/>
    <w:uiPriority w:val="49"/>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lista4-nfasis41">
    <w:name w:val="Tabla de lista 4 - Énfasis 41"/>
    <w:basedOn w:val="TableNormal"/>
    <w:uiPriority w:val="49"/>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lista4-nfasis51">
    <w:name w:val="Tabla de lista 4 - Énfasis 51"/>
    <w:basedOn w:val="TableNormal"/>
    <w:uiPriority w:val="49"/>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tcBorders>
        <w:shd w:val="clear" w:color="auto" w:fill="7BA79D" w:themeFill="accent5"/>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lista4-nfasis61">
    <w:name w:val="Tabla de lista 4 - Énfasis 61"/>
    <w:basedOn w:val="TableNormal"/>
    <w:uiPriority w:val="49"/>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lista5oscura1">
    <w:name w:val="Tabla de lista 5 oscura1"/>
    <w:basedOn w:val="TableNormal"/>
    <w:uiPriority w:val="50"/>
    <w:rsid w:val="00EE4C8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11">
    <w:name w:val="Tabla de lista 5 oscura - Énfasis 11"/>
    <w:basedOn w:val="TableNormal"/>
    <w:uiPriority w:val="50"/>
    <w:rsid w:val="00EE4C8D"/>
    <w:rPr>
      <w:color w:val="FFFFFF" w:themeColor="background1"/>
    </w:rPr>
    <w:tblPr>
      <w:tblStyleRowBandSize w:val="1"/>
      <w:tblStyleColBandSize w:val="1"/>
      <w:tblBorders>
        <w:top w:val="single" w:sz="24" w:space="0" w:color="94B6D2" w:themeColor="accent1"/>
        <w:left w:val="single" w:sz="24" w:space="0" w:color="94B6D2" w:themeColor="accent1"/>
        <w:bottom w:val="single" w:sz="24" w:space="0" w:color="94B6D2" w:themeColor="accent1"/>
        <w:right w:val="single" w:sz="24" w:space="0" w:color="94B6D2" w:themeColor="accent1"/>
      </w:tblBorders>
    </w:tblPr>
    <w:tcPr>
      <w:shd w:val="clear" w:color="auto" w:fill="94B6D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21">
    <w:name w:val="Tabla de lista 5 oscura - Énfasis 21"/>
    <w:basedOn w:val="TableNormal"/>
    <w:uiPriority w:val="50"/>
    <w:rsid w:val="00EE4C8D"/>
    <w:rPr>
      <w:color w:val="FFFFFF" w:themeColor="background1"/>
    </w:rPr>
    <w:tblPr>
      <w:tblStyleRowBandSize w:val="1"/>
      <w:tblStyleColBandSize w:val="1"/>
      <w:tblBorders>
        <w:top w:val="single" w:sz="24" w:space="0" w:color="DD8047" w:themeColor="accent2"/>
        <w:left w:val="single" w:sz="24" w:space="0" w:color="DD8047" w:themeColor="accent2"/>
        <w:bottom w:val="single" w:sz="24" w:space="0" w:color="DD8047" w:themeColor="accent2"/>
        <w:right w:val="single" w:sz="24" w:space="0" w:color="DD8047" w:themeColor="accent2"/>
      </w:tblBorders>
    </w:tblPr>
    <w:tcPr>
      <w:shd w:val="clear" w:color="auto" w:fill="DD80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eNormal"/>
    <w:uiPriority w:val="50"/>
    <w:rsid w:val="00EE4C8D"/>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1">
    <w:name w:val="Tabla de lista 5 oscura - Énfasis 41"/>
    <w:basedOn w:val="TableNormal"/>
    <w:uiPriority w:val="50"/>
    <w:rsid w:val="00EE4C8D"/>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1">
    <w:name w:val="Tabla de lista 5 oscura - Énfasis 51"/>
    <w:basedOn w:val="TableNormal"/>
    <w:uiPriority w:val="50"/>
    <w:rsid w:val="00EE4C8D"/>
    <w:rPr>
      <w:color w:val="FFFFFF" w:themeColor="background1"/>
    </w:rPr>
    <w:tblPr>
      <w:tblStyleRowBandSize w:val="1"/>
      <w:tblStyleColBandSize w:val="1"/>
      <w:tblBorders>
        <w:top w:val="single" w:sz="24" w:space="0" w:color="7BA79D" w:themeColor="accent5"/>
        <w:left w:val="single" w:sz="24" w:space="0" w:color="7BA79D" w:themeColor="accent5"/>
        <w:bottom w:val="single" w:sz="24" w:space="0" w:color="7BA79D" w:themeColor="accent5"/>
        <w:right w:val="single" w:sz="24" w:space="0" w:color="7BA79D" w:themeColor="accent5"/>
      </w:tblBorders>
    </w:tblPr>
    <w:tcPr>
      <w:shd w:val="clear" w:color="auto" w:fill="7BA7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61">
    <w:name w:val="Tabla de lista 5 oscura - Énfasis 61"/>
    <w:basedOn w:val="TableNormal"/>
    <w:uiPriority w:val="50"/>
    <w:rsid w:val="00EE4C8D"/>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1">
    <w:name w:val="Tabla de lista 6 con colores1"/>
    <w:basedOn w:val="TableNormal"/>
    <w:uiPriority w:val="51"/>
    <w:rsid w:val="00EE4C8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6concolores-nfasis11">
    <w:name w:val="Tabla de lista 6 con colores - Énfasis 11"/>
    <w:basedOn w:val="TableNormal"/>
    <w:uiPriority w:val="51"/>
    <w:rsid w:val="00EE4C8D"/>
    <w:rPr>
      <w:color w:val="548AB7" w:themeColor="accent1" w:themeShade="BF"/>
    </w:rPr>
    <w:tblPr>
      <w:tblStyleRowBandSize w:val="1"/>
      <w:tblStyleColBandSize w:val="1"/>
      <w:tblBorders>
        <w:top w:val="single" w:sz="4" w:space="0" w:color="94B6D2" w:themeColor="accent1"/>
        <w:bottom w:val="single" w:sz="4" w:space="0" w:color="94B6D2" w:themeColor="accent1"/>
      </w:tblBorders>
    </w:tblPr>
    <w:tblStylePr w:type="firstRow">
      <w:rPr>
        <w:b/>
        <w:bCs/>
      </w:rPr>
      <w:tblPr/>
      <w:tcPr>
        <w:tcBorders>
          <w:bottom w:val="single" w:sz="4" w:space="0" w:color="94B6D2" w:themeColor="accent1"/>
        </w:tcBorders>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lista6concolores-nfasis21">
    <w:name w:val="Tabla de lista 6 con colores - Énfasis 21"/>
    <w:basedOn w:val="TableNormal"/>
    <w:uiPriority w:val="51"/>
    <w:rsid w:val="00EE4C8D"/>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lista6concolores-nfasis31">
    <w:name w:val="Tabla de lista 6 con colores - Énfasis 31"/>
    <w:basedOn w:val="TableNormal"/>
    <w:uiPriority w:val="51"/>
    <w:rsid w:val="00EE4C8D"/>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lista6concolores-nfasis41">
    <w:name w:val="Tabla de lista 6 con colores - Énfasis 41"/>
    <w:basedOn w:val="TableNormal"/>
    <w:uiPriority w:val="51"/>
    <w:rsid w:val="00EE4C8D"/>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lista6concolores-nfasis51">
    <w:name w:val="Tabla de lista 6 con colores - Énfasis 51"/>
    <w:basedOn w:val="TableNormal"/>
    <w:uiPriority w:val="51"/>
    <w:rsid w:val="00EE4C8D"/>
    <w:rPr>
      <w:color w:val="568278" w:themeColor="accent5" w:themeShade="BF"/>
    </w:rPr>
    <w:tblPr>
      <w:tblStyleRowBandSize w:val="1"/>
      <w:tblStyleColBandSize w:val="1"/>
      <w:tblBorders>
        <w:top w:val="single" w:sz="4" w:space="0" w:color="7BA79D" w:themeColor="accent5"/>
        <w:bottom w:val="single" w:sz="4" w:space="0" w:color="7BA79D" w:themeColor="accent5"/>
      </w:tblBorders>
    </w:tblPr>
    <w:tblStylePr w:type="firstRow">
      <w:rPr>
        <w:b/>
        <w:bCs/>
      </w:rPr>
      <w:tblPr/>
      <w:tcPr>
        <w:tcBorders>
          <w:bottom w:val="single" w:sz="4" w:space="0" w:color="7BA79D" w:themeColor="accent5"/>
        </w:tcBorders>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lista6concolores-nfasis61">
    <w:name w:val="Tabla de lista 6 con colores - Énfasis 61"/>
    <w:basedOn w:val="TableNormal"/>
    <w:uiPriority w:val="51"/>
    <w:rsid w:val="00EE4C8D"/>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lista7concolores1">
    <w:name w:val="Tabla de lista 7 con colores1"/>
    <w:basedOn w:val="TableNormal"/>
    <w:uiPriority w:val="52"/>
    <w:rsid w:val="00EE4C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eNormal"/>
    <w:uiPriority w:val="52"/>
    <w:rsid w:val="00EE4C8D"/>
    <w:rPr>
      <w:color w:val="548AB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21">
    <w:name w:val="Tabla de lista 7 con colores - Énfasis 21"/>
    <w:basedOn w:val="TableNormal"/>
    <w:uiPriority w:val="52"/>
    <w:rsid w:val="00EE4C8D"/>
    <w:rPr>
      <w:color w:val="B85A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80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80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80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8047" w:themeColor="accent2"/>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
    <w:name w:val="Tabla de lista 7 con colores - Énfasis 31"/>
    <w:basedOn w:val="TableNormal"/>
    <w:uiPriority w:val="52"/>
    <w:rsid w:val="00EE4C8D"/>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41">
    <w:name w:val="Tabla de lista 7 con colores - Énfasis 41"/>
    <w:basedOn w:val="TableNormal"/>
    <w:uiPriority w:val="52"/>
    <w:rsid w:val="00EE4C8D"/>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51">
    <w:name w:val="Tabla de lista 7 con colores - Énfasis 51"/>
    <w:basedOn w:val="TableNormal"/>
    <w:uiPriority w:val="52"/>
    <w:rsid w:val="00EE4C8D"/>
    <w:rPr>
      <w:color w:val="5682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A7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A7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A7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A79D" w:themeColor="accent5"/>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
    <w:name w:val="Tabla de lista 7 con colores - Énfasis 61"/>
    <w:basedOn w:val="TableNormal"/>
    <w:uiPriority w:val="52"/>
    <w:rsid w:val="00EE4C8D"/>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EE4C8D"/>
  </w:style>
  <w:style w:type="character" w:customStyle="1" w:styleId="E-mailSignatureChar">
    <w:name w:val="E-mail Signature Char"/>
    <w:basedOn w:val="DefaultParagraphFont"/>
    <w:link w:val="E-mailSignature"/>
    <w:uiPriority w:val="99"/>
    <w:semiHidden/>
    <w:rsid w:val="00EE4C8D"/>
    <w:rPr>
      <w:rFonts w:ascii="Century Gothic" w:hAnsi="Century Gothic"/>
      <w:sz w:val="18"/>
      <w:szCs w:val="22"/>
    </w:rPr>
  </w:style>
  <w:style w:type="paragraph" w:styleId="Salutation">
    <w:name w:val="Salutation"/>
    <w:basedOn w:val="Normal"/>
    <w:next w:val="Normal"/>
    <w:link w:val="SalutationChar"/>
    <w:uiPriority w:val="99"/>
    <w:semiHidden/>
    <w:unhideWhenUsed/>
    <w:rsid w:val="00EE4C8D"/>
  </w:style>
  <w:style w:type="character" w:customStyle="1" w:styleId="SalutationChar">
    <w:name w:val="Salutation Char"/>
    <w:basedOn w:val="DefaultParagraphFont"/>
    <w:link w:val="Salutation"/>
    <w:uiPriority w:val="99"/>
    <w:semiHidden/>
    <w:rsid w:val="00EE4C8D"/>
    <w:rPr>
      <w:rFonts w:ascii="Century Gothic" w:hAnsi="Century Gothic"/>
      <w:sz w:val="18"/>
      <w:szCs w:val="22"/>
    </w:rPr>
  </w:style>
  <w:style w:type="table" w:styleId="TableColumns1">
    <w:name w:val="Table Columns 1"/>
    <w:basedOn w:val="TableNormal"/>
    <w:uiPriority w:val="99"/>
    <w:semiHidden/>
    <w:unhideWhenUsed/>
    <w:rsid w:val="00EE4C8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E4C8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E4C8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E4C8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E4C8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EE4C8D"/>
    <w:pPr>
      <w:ind w:left="4320"/>
    </w:pPr>
  </w:style>
  <w:style w:type="character" w:customStyle="1" w:styleId="SignatureChar">
    <w:name w:val="Signature Char"/>
    <w:basedOn w:val="DefaultParagraphFont"/>
    <w:link w:val="Signature"/>
    <w:uiPriority w:val="99"/>
    <w:semiHidden/>
    <w:rsid w:val="00EE4C8D"/>
    <w:rPr>
      <w:rFonts w:ascii="Century Gothic" w:hAnsi="Century Gothic"/>
      <w:sz w:val="18"/>
      <w:szCs w:val="22"/>
    </w:rPr>
  </w:style>
  <w:style w:type="table" w:styleId="TableSimple1">
    <w:name w:val="Table Simple 1"/>
    <w:basedOn w:val="TableNormal"/>
    <w:uiPriority w:val="99"/>
    <w:semiHidden/>
    <w:unhideWhenUsed/>
    <w:rsid w:val="00EE4C8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E4C8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E4C8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E4C8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E4C8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EE4C8D"/>
    <w:pPr>
      <w:ind w:left="180" w:hanging="180"/>
    </w:pPr>
  </w:style>
  <w:style w:type="paragraph" w:styleId="Index2">
    <w:name w:val="index 2"/>
    <w:basedOn w:val="Normal"/>
    <w:next w:val="Normal"/>
    <w:autoRedefine/>
    <w:uiPriority w:val="99"/>
    <w:semiHidden/>
    <w:unhideWhenUsed/>
    <w:rsid w:val="00EE4C8D"/>
    <w:pPr>
      <w:ind w:left="360" w:hanging="180"/>
    </w:pPr>
  </w:style>
  <w:style w:type="paragraph" w:styleId="Index3">
    <w:name w:val="index 3"/>
    <w:basedOn w:val="Normal"/>
    <w:next w:val="Normal"/>
    <w:autoRedefine/>
    <w:uiPriority w:val="99"/>
    <w:semiHidden/>
    <w:unhideWhenUsed/>
    <w:rsid w:val="00EE4C8D"/>
    <w:pPr>
      <w:ind w:left="540" w:hanging="180"/>
    </w:pPr>
  </w:style>
  <w:style w:type="paragraph" w:styleId="Index4">
    <w:name w:val="index 4"/>
    <w:basedOn w:val="Normal"/>
    <w:next w:val="Normal"/>
    <w:autoRedefine/>
    <w:uiPriority w:val="99"/>
    <w:semiHidden/>
    <w:unhideWhenUsed/>
    <w:rsid w:val="00EE4C8D"/>
    <w:pPr>
      <w:ind w:left="720" w:hanging="180"/>
    </w:pPr>
  </w:style>
  <w:style w:type="paragraph" w:styleId="Index5">
    <w:name w:val="index 5"/>
    <w:basedOn w:val="Normal"/>
    <w:next w:val="Normal"/>
    <w:autoRedefine/>
    <w:uiPriority w:val="99"/>
    <w:semiHidden/>
    <w:unhideWhenUsed/>
    <w:rsid w:val="00EE4C8D"/>
    <w:pPr>
      <w:ind w:left="900" w:hanging="180"/>
    </w:pPr>
  </w:style>
  <w:style w:type="paragraph" w:styleId="Index6">
    <w:name w:val="index 6"/>
    <w:basedOn w:val="Normal"/>
    <w:next w:val="Normal"/>
    <w:autoRedefine/>
    <w:uiPriority w:val="99"/>
    <w:semiHidden/>
    <w:unhideWhenUsed/>
    <w:rsid w:val="00EE4C8D"/>
    <w:pPr>
      <w:ind w:left="1080" w:hanging="180"/>
    </w:pPr>
  </w:style>
  <w:style w:type="paragraph" w:styleId="Index7">
    <w:name w:val="index 7"/>
    <w:basedOn w:val="Normal"/>
    <w:next w:val="Normal"/>
    <w:autoRedefine/>
    <w:uiPriority w:val="99"/>
    <w:semiHidden/>
    <w:unhideWhenUsed/>
    <w:rsid w:val="00EE4C8D"/>
    <w:pPr>
      <w:ind w:left="1260" w:hanging="180"/>
    </w:pPr>
  </w:style>
  <w:style w:type="paragraph" w:styleId="Index8">
    <w:name w:val="index 8"/>
    <w:basedOn w:val="Normal"/>
    <w:next w:val="Normal"/>
    <w:autoRedefine/>
    <w:uiPriority w:val="99"/>
    <w:semiHidden/>
    <w:unhideWhenUsed/>
    <w:rsid w:val="00EE4C8D"/>
    <w:pPr>
      <w:ind w:left="1440" w:hanging="180"/>
    </w:pPr>
  </w:style>
  <w:style w:type="paragraph" w:styleId="Index9">
    <w:name w:val="index 9"/>
    <w:basedOn w:val="Normal"/>
    <w:next w:val="Normal"/>
    <w:autoRedefine/>
    <w:uiPriority w:val="99"/>
    <w:semiHidden/>
    <w:unhideWhenUsed/>
    <w:rsid w:val="00EE4C8D"/>
    <w:pPr>
      <w:ind w:left="1620" w:hanging="180"/>
    </w:pPr>
  </w:style>
  <w:style w:type="paragraph" w:styleId="IndexHeading">
    <w:name w:val="index heading"/>
    <w:basedOn w:val="Normal"/>
    <w:next w:val="Index1"/>
    <w:uiPriority w:val="99"/>
    <w:semiHidden/>
    <w:unhideWhenUsed/>
    <w:rsid w:val="00EE4C8D"/>
    <w:rPr>
      <w:rFonts w:eastAsiaTheme="majorEastAsia" w:cstheme="majorBidi"/>
      <w:b/>
      <w:bCs/>
    </w:rPr>
  </w:style>
  <w:style w:type="paragraph" w:styleId="PlainText">
    <w:name w:val="Plain Text"/>
    <w:basedOn w:val="Normal"/>
    <w:link w:val="PlainTextChar"/>
    <w:uiPriority w:val="99"/>
    <w:semiHidden/>
    <w:unhideWhenUsed/>
    <w:rsid w:val="00EE4C8D"/>
    <w:rPr>
      <w:rFonts w:ascii="Consolas" w:hAnsi="Consolas"/>
      <w:sz w:val="21"/>
      <w:szCs w:val="21"/>
    </w:rPr>
  </w:style>
  <w:style w:type="character" w:customStyle="1" w:styleId="PlainTextChar">
    <w:name w:val="Plain Text Char"/>
    <w:basedOn w:val="DefaultParagraphFont"/>
    <w:link w:val="PlainText"/>
    <w:uiPriority w:val="99"/>
    <w:semiHidden/>
    <w:rsid w:val="00EE4C8D"/>
    <w:rPr>
      <w:rFonts w:ascii="Consolas" w:hAnsi="Consolas"/>
      <w:sz w:val="21"/>
      <w:szCs w:val="21"/>
    </w:rPr>
  </w:style>
  <w:style w:type="paragraph" w:styleId="Closing">
    <w:name w:val="Closing"/>
    <w:basedOn w:val="Normal"/>
    <w:link w:val="ClosingChar"/>
    <w:uiPriority w:val="99"/>
    <w:semiHidden/>
    <w:unhideWhenUsed/>
    <w:rsid w:val="00EE4C8D"/>
    <w:pPr>
      <w:ind w:left="4320"/>
    </w:pPr>
  </w:style>
  <w:style w:type="character" w:customStyle="1" w:styleId="ClosingChar">
    <w:name w:val="Closing Char"/>
    <w:basedOn w:val="DefaultParagraphFont"/>
    <w:link w:val="Closing"/>
    <w:uiPriority w:val="99"/>
    <w:semiHidden/>
    <w:rsid w:val="00EE4C8D"/>
    <w:rPr>
      <w:rFonts w:ascii="Century Gothic" w:hAnsi="Century Gothic"/>
      <w:sz w:val="18"/>
      <w:szCs w:val="22"/>
    </w:rPr>
  </w:style>
  <w:style w:type="table" w:styleId="TableGrid1">
    <w:name w:val="Table Grid 1"/>
    <w:basedOn w:val="Table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E4C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E4C8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E4C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E4C8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E4C8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E4C8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E4C8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Cuadrculadetablaclara1">
    <w:name w:val="Cuadrícula de tabla clara1"/>
    <w:basedOn w:val="TableNormal"/>
    <w:uiPriority w:val="40"/>
    <w:rsid w:val="00EE4C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1">
    <w:name w:val="Tabla de cuadrícula 1 clara1"/>
    <w:basedOn w:val="TableNormal"/>
    <w:uiPriority w:val="46"/>
    <w:rsid w:val="00EE4C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eNormal"/>
    <w:uiPriority w:val="46"/>
    <w:rsid w:val="00EE4C8D"/>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customStyle="1" w:styleId="Tabladecuadrcula1Claro-nfasis21">
    <w:name w:val="Tabla de cuadrícula 1 Claro - Énfasis 21"/>
    <w:basedOn w:val="TableNormal"/>
    <w:uiPriority w:val="46"/>
    <w:rsid w:val="00EE4C8D"/>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eNormal"/>
    <w:uiPriority w:val="46"/>
    <w:rsid w:val="00EE4C8D"/>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eNormal"/>
    <w:uiPriority w:val="46"/>
    <w:rsid w:val="00EE4C8D"/>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eNormal"/>
    <w:uiPriority w:val="46"/>
    <w:rsid w:val="00EE4C8D"/>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eNormal"/>
    <w:uiPriority w:val="46"/>
    <w:rsid w:val="00EE4C8D"/>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customStyle="1" w:styleId="Tabladecuadrcula21">
    <w:name w:val="Tabla de cuadrícula 21"/>
    <w:basedOn w:val="TableNormal"/>
    <w:uiPriority w:val="47"/>
    <w:rsid w:val="00EE4C8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nfasis11">
    <w:name w:val="Tabla de cuadrícula 2 - Énfasis 11"/>
    <w:basedOn w:val="TableNormal"/>
    <w:uiPriority w:val="47"/>
    <w:rsid w:val="00EE4C8D"/>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cuadrcula2-nfasis21">
    <w:name w:val="Tabla de cuadrícula 2 - Énfasis 21"/>
    <w:basedOn w:val="TableNormal"/>
    <w:uiPriority w:val="47"/>
    <w:rsid w:val="00EE4C8D"/>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cuadrcula2-nfasis31">
    <w:name w:val="Tabla de cuadrícula 2 - Énfasis 31"/>
    <w:basedOn w:val="TableNormal"/>
    <w:uiPriority w:val="47"/>
    <w:rsid w:val="00EE4C8D"/>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cuadrcula2-nfasis41">
    <w:name w:val="Tabla de cuadrícula 2 - Énfasis 41"/>
    <w:basedOn w:val="TableNormal"/>
    <w:uiPriority w:val="47"/>
    <w:rsid w:val="00EE4C8D"/>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cuadrcula2-nfasis51">
    <w:name w:val="Tabla de cuadrícula 2 - Énfasis 51"/>
    <w:basedOn w:val="TableNormal"/>
    <w:uiPriority w:val="47"/>
    <w:rsid w:val="00EE4C8D"/>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cuadrcula2-nfasis61">
    <w:name w:val="Tabla de cuadrícula 2 - Énfasis 61"/>
    <w:basedOn w:val="TableNormal"/>
    <w:uiPriority w:val="47"/>
    <w:rsid w:val="00EE4C8D"/>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cuadrcula31">
    <w:name w:val="Tabla de cuadrícula 31"/>
    <w:basedOn w:val="TableNormal"/>
    <w:uiPriority w:val="48"/>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3-nfasis11">
    <w:name w:val="Tabla de cuadrícula 3 - Énfasis 11"/>
    <w:basedOn w:val="TableNormal"/>
    <w:uiPriority w:val="48"/>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Tabladecuadrcula3-nfasis21">
    <w:name w:val="Tabla de cuadrícula 3 - Énfasis 21"/>
    <w:basedOn w:val="TableNormal"/>
    <w:uiPriority w:val="48"/>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Tabladecuadrcula3-nfasis31">
    <w:name w:val="Tabla de cuadrícula 3 - Énfasis 31"/>
    <w:basedOn w:val="TableNormal"/>
    <w:uiPriority w:val="48"/>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Tabladecuadrcula3-nfasis41">
    <w:name w:val="Tabla de cuadrícula 3 - Énfasis 41"/>
    <w:basedOn w:val="TableNormal"/>
    <w:uiPriority w:val="48"/>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Tabladecuadrcula3-nfasis51">
    <w:name w:val="Tabla de cuadrícula 3 - Énfasis 51"/>
    <w:basedOn w:val="TableNormal"/>
    <w:uiPriority w:val="48"/>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Tabladecuadrcula3-nfasis61">
    <w:name w:val="Tabla de cuadrícula 3 - Énfasis 61"/>
    <w:basedOn w:val="TableNormal"/>
    <w:uiPriority w:val="48"/>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customStyle="1" w:styleId="Tabladecuadrcula41">
    <w:name w:val="Tabla de cuadrícula 41"/>
    <w:basedOn w:val="TableNormal"/>
    <w:uiPriority w:val="49"/>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11">
    <w:name w:val="Tabla de cuadrícula 4 - Énfasis 11"/>
    <w:basedOn w:val="TableNormal"/>
    <w:uiPriority w:val="49"/>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cuadrcula4-nfasis21">
    <w:name w:val="Tabla de cuadrícula 4 - Énfasis 21"/>
    <w:basedOn w:val="TableNormal"/>
    <w:uiPriority w:val="49"/>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cuadrcula4-nfasis31">
    <w:name w:val="Tabla de cuadrícula 4 - Énfasis 31"/>
    <w:basedOn w:val="TableNormal"/>
    <w:uiPriority w:val="49"/>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cuadrcula4-nfasis41">
    <w:name w:val="Tabla de cuadrícula 4 - Énfasis 41"/>
    <w:basedOn w:val="TableNormal"/>
    <w:uiPriority w:val="49"/>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cuadrcula4-nfasis51">
    <w:name w:val="Tabla de cuadrícula 4 - Énfasis 51"/>
    <w:basedOn w:val="TableNormal"/>
    <w:uiPriority w:val="49"/>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cuadrcula4-nfasis61">
    <w:name w:val="Tabla de cuadrícula 4 - Énfasis 61"/>
    <w:basedOn w:val="TableNormal"/>
    <w:uiPriority w:val="49"/>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cuadrcula5oscura1">
    <w:name w:val="Tabla de cuadrícula 5 oscura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5oscura-nfasis11">
    <w:name w:val="Tabla de cuadrícula 5 oscura - Énfasis 1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Tabladecuadrcula5oscura-nfasis21">
    <w:name w:val="Tabla de cuadrícula 5 oscura - Énfasis 2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Tabladecuadrcula5oscura-nfasis31">
    <w:name w:val="Tabla de cuadrícula 5 oscura - Énfasis 3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customStyle="1" w:styleId="Tabladecuadrcula5oscura-nfasis41">
    <w:name w:val="Tabla de cuadrícula 5 oscura - Énfasis 4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customStyle="1" w:styleId="Tabladecuadrcula5oscura-nfasis51">
    <w:name w:val="Tabla de cuadrícula 5 oscura - Énfasis 5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customStyle="1" w:styleId="Tabladecuadrcula5oscura-nfasis61">
    <w:name w:val="Tabla de cuadrícula 5 oscura - Énfasis 61"/>
    <w:basedOn w:val="Table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customStyle="1" w:styleId="Tabladecuadrcula6concolores1">
    <w:name w:val="Tabla de cuadrícula 6 con colores1"/>
    <w:basedOn w:val="TableNormal"/>
    <w:uiPriority w:val="51"/>
    <w:rsid w:val="00EE4C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11">
    <w:name w:val="Tabla de cuadrícula 6 con colores - Énfasis 11"/>
    <w:basedOn w:val="TableNormal"/>
    <w:uiPriority w:val="51"/>
    <w:rsid w:val="00EE4C8D"/>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cuadrcula6concolores-nfasis21">
    <w:name w:val="Tabla de cuadrícula 6 con colores - Énfasis 21"/>
    <w:basedOn w:val="TableNormal"/>
    <w:uiPriority w:val="51"/>
    <w:rsid w:val="00EE4C8D"/>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cuadrcula6concolores-nfasis31">
    <w:name w:val="Tabla de cuadrícula 6 con colores - Énfasis 31"/>
    <w:basedOn w:val="TableNormal"/>
    <w:uiPriority w:val="51"/>
    <w:rsid w:val="00EE4C8D"/>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decuadrcula6concolores-nfasis41">
    <w:name w:val="Tabla de cuadrícula 6 con colores - Énfasis 41"/>
    <w:basedOn w:val="TableNormal"/>
    <w:uiPriority w:val="51"/>
    <w:rsid w:val="00EE4C8D"/>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decuadrcula6concolores-nfasis51">
    <w:name w:val="Tabla de cuadrícula 6 con colores - Énfasis 51"/>
    <w:basedOn w:val="TableNormal"/>
    <w:uiPriority w:val="51"/>
    <w:rsid w:val="00EE4C8D"/>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decuadrcula6concolores-nfasis61">
    <w:name w:val="Tabla de cuadrícula 6 con colores - Énfasis 61"/>
    <w:basedOn w:val="TableNormal"/>
    <w:uiPriority w:val="51"/>
    <w:rsid w:val="00EE4C8D"/>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decuadrcula7concolores1">
    <w:name w:val="Tabla de cuadrícula 7 con colores1"/>
    <w:basedOn w:val="TableNormal"/>
    <w:uiPriority w:val="52"/>
    <w:rsid w:val="00EE4C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7concolores-nfasis11">
    <w:name w:val="Tabla de cuadrícula 7 con colores - Énfasis 11"/>
    <w:basedOn w:val="TableNormal"/>
    <w:uiPriority w:val="52"/>
    <w:rsid w:val="00EE4C8D"/>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Tabladecuadrcula7concolores-nfasis21">
    <w:name w:val="Tabla de cuadrícula 7 con colores - Énfasis 21"/>
    <w:basedOn w:val="TableNormal"/>
    <w:uiPriority w:val="52"/>
    <w:rsid w:val="00EE4C8D"/>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Tabladecuadrcula7concolores-nfasis31">
    <w:name w:val="Tabla de cuadrícula 7 con colores - Énfasis 31"/>
    <w:basedOn w:val="TableNormal"/>
    <w:uiPriority w:val="52"/>
    <w:rsid w:val="00EE4C8D"/>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Tabladecuadrcula7concolores-nfasis41">
    <w:name w:val="Tabla de cuadrícula 7 con colores - Énfasis 41"/>
    <w:basedOn w:val="TableNormal"/>
    <w:uiPriority w:val="52"/>
    <w:rsid w:val="00EE4C8D"/>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Tabladecuadrcula7concolores-nfasis51">
    <w:name w:val="Tabla de cuadrícula 7 con colores - Énfasis 51"/>
    <w:basedOn w:val="TableNormal"/>
    <w:uiPriority w:val="52"/>
    <w:rsid w:val="00EE4C8D"/>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Tabladecuadrcula7concolores-nfasis61">
    <w:name w:val="Tabla de cuadrícula 7 con colores - Énfasis 61"/>
    <w:basedOn w:val="TableNormal"/>
    <w:uiPriority w:val="52"/>
    <w:rsid w:val="00EE4C8D"/>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TableWeb1">
    <w:name w:val="Table Web 1"/>
    <w:basedOn w:val="TableNormal"/>
    <w:uiPriority w:val="99"/>
    <w:semiHidden/>
    <w:unhideWhenUsed/>
    <w:rsid w:val="00EE4C8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E4C8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E4C8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EE4C8D"/>
    <w:rPr>
      <w:rFonts w:ascii="Century Gothic" w:hAnsi="Century Gothic"/>
      <w:vertAlign w:val="superscript"/>
    </w:rPr>
  </w:style>
  <w:style w:type="paragraph" w:styleId="FootnoteText">
    <w:name w:val="footnote text"/>
    <w:basedOn w:val="Normal"/>
    <w:link w:val="FootnoteTextChar"/>
    <w:uiPriority w:val="99"/>
    <w:semiHidden/>
    <w:unhideWhenUsed/>
    <w:rsid w:val="00EE4C8D"/>
    <w:rPr>
      <w:sz w:val="20"/>
      <w:szCs w:val="20"/>
    </w:rPr>
  </w:style>
  <w:style w:type="character" w:customStyle="1" w:styleId="FootnoteTextChar">
    <w:name w:val="Footnote Text Char"/>
    <w:basedOn w:val="DefaultParagraphFont"/>
    <w:link w:val="FootnoteText"/>
    <w:uiPriority w:val="99"/>
    <w:semiHidden/>
    <w:rsid w:val="00EE4C8D"/>
    <w:rPr>
      <w:rFonts w:ascii="Century Gothic" w:hAnsi="Century Gothic"/>
      <w:sz w:val="20"/>
      <w:szCs w:val="20"/>
    </w:rPr>
  </w:style>
  <w:style w:type="character" w:styleId="LineNumber">
    <w:name w:val="line number"/>
    <w:basedOn w:val="DefaultParagraphFont"/>
    <w:uiPriority w:val="99"/>
    <w:semiHidden/>
    <w:unhideWhenUsed/>
    <w:rsid w:val="00EE4C8D"/>
    <w:rPr>
      <w:rFonts w:ascii="Century Gothic" w:hAnsi="Century Gothic"/>
    </w:rPr>
  </w:style>
  <w:style w:type="table" w:styleId="Table3Deffects1">
    <w:name w:val="Table 3D effects 1"/>
    <w:basedOn w:val="TableNormal"/>
    <w:uiPriority w:val="99"/>
    <w:semiHidden/>
    <w:unhideWhenUsed/>
    <w:rsid w:val="00EE4C8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E4C8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E4C8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E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E4C8D"/>
    <w:rPr>
      <w:rFonts w:ascii="Century Gothic" w:hAnsi="Century Gothic"/>
      <w:b/>
      <w:bCs/>
    </w:rPr>
  </w:style>
  <w:style w:type="character" w:styleId="FollowedHyperlink">
    <w:name w:val="FollowedHyperlink"/>
    <w:basedOn w:val="DefaultParagraphFont"/>
    <w:uiPriority w:val="99"/>
    <w:semiHidden/>
    <w:unhideWhenUsed/>
    <w:rsid w:val="00EE4C8D"/>
    <w:rPr>
      <w:rFonts w:ascii="Century Gothic" w:hAnsi="Century Gothic"/>
      <w:color w:val="704404" w:themeColor="followedHyperlink"/>
      <w:u w:val="single"/>
    </w:rPr>
  </w:style>
  <w:style w:type="character" w:styleId="PageNumber">
    <w:name w:val="page number"/>
    <w:basedOn w:val="DefaultParagraphFont"/>
    <w:uiPriority w:val="99"/>
    <w:unhideWhenUsed/>
    <w:rsid w:val="00EE4C8D"/>
    <w:rPr>
      <w:rFonts w:ascii="Century Gothic" w:hAnsi="Century Gothic"/>
    </w:rPr>
  </w:style>
  <w:style w:type="paragraph" w:styleId="Caption">
    <w:name w:val="caption"/>
    <w:basedOn w:val="Normal"/>
    <w:next w:val="Normal"/>
    <w:uiPriority w:val="35"/>
    <w:unhideWhenUsed/>
    <w:qFormat/>
    <w:rsid w:val="00EE4C8D"/>
    <w:pPr>
      <w:spacing w:after="200"/>
    </w:pPr>
    <w:rPr>
      <w:i/>
      <w:iCs/>
      <w:color w:val="775F55" w:themeColor="text2"/>
      <w:szCs w:val="18"/>
    </w:rPr>
  </w:style>
  <w:style w:type="numbering" w:customStyle="1" w:styleId="Sinlista1">
    <w:name w:val="Sin lista1"/>
    <w:next w:val="NoList"/>
    <w:uiPriority w:val="99"/>
    <w:semiHidden/>
    <w:unhideWhenUsed/>
    <w:rsid w:val="009519CD"/>
  </w:style>
  <w:style w:type="character" w:customStyle="1" w:styleId="Fuentedeprrafopredeter1">
    <w:name w:val="Fuente de párrafo predeter.1"/>
    <w:rsid w:val="009519CD"/>
  </w:style>
  <w:style w:type="character" w:customStyle="1" w:styleId="5yl5">
    <w:name w:val="_5yl5"/>
    <w:basedOn w:val="Fuentedeprrafopredeter1"/>
    <w:rsid w:val="009519CD"/>
  </w:style>
  <w:style w:type="character" w:customStyle="1" w:styleId="ListLabel1">
    <w:name w:val="ListLabel 1"/>
    <w:rsid w:val="009519CD"/>
    <w:rPr>
      <w:rFonts w:cs="font358"/>
    </w:rPr>
  </w:style>
  <w:style w:type="character" w:customStyle="1" w:styleId="ListLabel2">
    <w:name w:val="ListLabel 2"/>
    <w:rsid w:val="009519CD"/>
    <w:rPr>
      <w:rFonts w:cs="Courier New"/>
    </w:rPr>
  </w:style>
  <w:style w:type="paragraph" w:customStyle="1" w:styleId="Encabezado1">
    <w:name w:val="Encabezado1"/>
    <w:basedOn w:val="Normal"/>
    <w:next w:val="BodyText"/>
    <w:rsid w:val="009519CD"/>
    <w:pPr>
      <w:keepNext/>
      <w:tabs>
        <w:tab w:val="center" w:pos="4252"/>
        <w:tab w:val="right" w:pos="8504"/>
      </w:tabs>
      <w:suppressAutoHyphens/>
      <w:spacing w:before="240" w:line="100" w:lineRule="atLeast"/>
    </w:pPr>
    <w:rPr>
      <w:rFonts w:ascii="Arial" w:eastAsia="Microsoft YaHei" w:hAnsi="Arial" w:cs="Mangal"/>
      <w:kern w:val="1"/>
      <w:sz w:val="28"/>
      <w:szCs w:val="28"/>
      <w:lang w:val="es-EC" w:eastAsia="es-EC"/>
    </w:rPr>
  </w:style>
  <w:style w:type="paragraph" w:customStyle="1" w:styleId="Epgrafe1">
    <w:name w:val="Epígrafe1"/>
    <w:basedOn w:val="Normal"/>
    <w:qFormat/>
    <w:rsid w:val="009519CD"/>
    <w:pPr>
      <w:suppressLineNumbers/>
      <w:suppressAutoHyphens/>
      <w:spacing w:before="120" w:after="120" w:line="276" w:lineRule="auto"/>
    </w:pPr>
    <w:rPr>
      <w:rFonts w:ascii="Calibri" w:eastAsia="SimSun" w:hAnsi="Calibri" w:cs="Mangal"/>
      <w:i/>
      <w:iCs/>
      <w:kern w:val="1"/>
      <w:sz w:val="24"/>
      <w:szCs w:val="24"/>
      <w:lang w:val="es-EC" w:eastAsia="es-EC"/>
    </w:rPr>
  </w:style>
  <w:style w:type="paragraph" w:customStyle="1" w:styleId="ndice">
    <w:name w:val="Índice"/>
    <w:basedOn w:val="Normal"/>
    <w:rsid w:val="009519CD"/>
    <w:pPr>
      <w:suppressLineNumbers/>
      <w:suppressAutoHyphens/>
      <w:spacing w:after="200" w:line="276" w:lineRule="auto"/>
    </w:pPr>
    <w:rPr>
      <w:rFonts w:ascii="Calibri" w:eastAsia="SimSun" w:hAnsi="Calibri" w:cs="Mangal"/>
      <w:kern w:val="1"/>
      <w:sz w:val="22"/>
      <w:lang w:val="es-EC" w:eastAsia="es-EC"/>
    </w:rPr>
  </w:style>
  <w:style w:type="paragraph" w:customStyle="1" w:styleId="Textodeglobo1">
    <w:name w:val="Texto de globo1"/>
    <w:basedOn w:val="Normal"/>
    <w:rsid w:val="009519CD"/>
    <w:pPr>
      <w:suppressAutoHyphens/>
      <w:spacing w:line="100" w:lineRule="atLeast"/>
    </w:pPr>
    <w:rPr>
      <w:rFonts w:ascii="Tahoma" w:eastAsia="SimSun" w:hAnsi="Tahoma" w:cs="Tahoma"/>
      <w:kern w:val="1"/>
      <w:sz w:val="16"/>
      <w:szCs w:val="16"/>
      <w:lang w:val="es-EC" w:eastAsia="es-EC"/>
    </w:rPr>
  </w:style>
  <w:style w:type="paragraph" w:customStyle="1" w:styleId="Prrafodelista1">
    <w:name w:val="Párrafo de lista1"/>
    <w:basedOn w:val="Normal"/>
    <w:rsid w:val="009519CD"/>
    <w:pPr>
      <w:suppressAutoHyphens/>
      <w:spacing w:after="200" w:line="276" w:lineRule="auto"/>
      <w:ind w:left="720"/>
      <w:contextualSpacing/>
    </w:pPr>
    <w:rPr>
      <w:rFonts w:ascii="Calibri" w:eastAsia="SimSun" w:hAnsi="Calibri" w:cs="font358"/>
      <w:kern w:val="1"/>
      <w:sz w:val="22"/>
      <w:lang w:val="es-EC" w:eastAsia="es-EC"/>
    </w:rPr>
  </w:style>
  <w:style w:type="character" w:customStyle="1" w:styleId="TextodegloboCar1">
    <w:name w:val="Texto de globo Car1"/>
    <w:uiPriority w:val="99"/>
    <w:semiHidden/>
    <w:rsid w:val="009519CD"/>
    <w:rPr>
      <w:rFonts w:ascii="Segoe UI" w:eastAsia="SimSun" w:hAnsi="Segoe UI" w:cs="Segoe UI"/>
      <w:kern w:val="1"/>
      <w:sz w:val="18"/>
      <w:szCs w:val="18"/>
      <w:lang w:val="es-EC" w:eastAsia="es-EC"/>
    </w:rPr>
  </w:style>
  <w:style w:type="table" w:customStyle="1" w:styleId="Tablaconcuadrcula1">
    <w:name w:val="Tabla con cuadrícula1"/>
    <w:basedOn w:val="TableNormal"/>
    <w:next w:val="TableGrid"/>
    <w:uiPriority w:val="39"/>
    <w:rsid w:val="009519CD"/>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9519CD"/>
    <w:pPr>
      <w:suppressAutoHyphens/>
      <w:spacing w:after="160" w:line="256" w:lineRule="auto"/>
      <w:ind w:left="720"/>
      <w:contextualSpacing/>
    </w:pPr>
    <w:rPr>
      <w:rFonts w:ascii="Calibri" w:eastAsia="SimSun" w:hAnsi="Calibri" w:cs="Calibri"/>
      <w:kern w:val="1"/>
      <w:sz w:val="22"/>
      <w:lang w:val="es-EC" w:eastAsia="en-US"/>
    </w:rPr>
  </w:style>
  <w:style w:type="paragraph" w:customStyle="1" w:styleId="msonormal0">
    <w:name w:val="msonormal"/>
    <w:basedOn w:val="Normal"/>
    <w:rsid w:val="009519CD"/>
    <w:pPr>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st">
    <w:name w:val="st"/>
    <w:rsid w:val="009519CD"/>
  </w:style>
  <w:style w:type="paragraph" w:customStyle="1" w:styleId="TableParagraph">
    <w:name w:val="Table Paragraph"/>
    <w:basedOn w:val="Normal"/>
    <w:uiPriority w:val="1"/>
    <w:qFormat/>
    <w:rsid w:val="009519CD"/>
    <w:pPr>
      <w:widowControl w:val="0"/>
      <w:autoSpaceDE w:val="0"/>
      <w:autoSpaceDN w:val="0"/>
      <w:jc w:val="center"/>
    </w:pPr>
    <w:rPr>
      <w:rFonts w:ascii="Arial" w:eastAsia="Arial" w:hAnsi="Arial" w:cs="Arial"/>
      <w:sz w:val="22"/>
      <w:lang w:val="en-US" w:eastAsia="en-US"/>
    </w:rPr>
  </w:style>
  <w:style w:type="character" w:customStyle="1" w:styleId="Mencinsinresolver1">
    <w:name w:val="Mención sin resolver1"/>
    <w:basedOn w:val="DefaultParagraphFont"/>
    <w:uiPriority w:val="99"/>
    <w:semiHidden/>
    <w:unhideWhenUsed/>
    <w:rsid w:val="009519CD"/>
    <w:rPr>
      <w:color w:val="605E5C"/>
      <w:shd w:val="clear" w:color="auto" w:fill="E1DFDD"/>
    </w:rPr>
  </w:style>
  <w:style w:type="paragraph" w:customStyle="1" w:styleId="xl68">
    <w:name w:val="xl68"/>
    <w:basedOn w:val="Normal"/>
    <w:rsid w:val="009519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69">
    <w:name w:val="xl69"/>
    <w:basedOn w:val="Normal"/>
    <w:rsid w:val="009519CD"/>
    <w:pPr>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70">
    <w:name w:val="xl70"/>
    <w:basedOn w:val="Normal"/>
    <w:rsid w:val="009519C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71">
    <w:name w:val="xl71"/>
    <w:basedOn w:val="Normal"/>
    <w:rsid w:val="009519C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72">
    <w:name w:val="xl72"/>
    <w:basedOn w:val="Normal"/>
    <w:rsid w:val="009519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73">
    <w:name w:val="xl73"/>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74">
    <w:name w:val="xl74"/>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s-ES"/>
    </w:rPr>
  </w:style>
  <w:style w:type="paragraph" w:customStyle="1" w:styleId="xl75">
    <w:name w:val="xl75"/>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76">
    <w:name w:val="xl76"/>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s-ES"/>
    </w:rPr>
  </w:style>
  <w:style w:type="paragraph" w:customStyle="1" w:styleId="xl77">
    <w:name w:val="xl77"/>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78">
    <w:name w:val="xl78"/>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79">
    <w:name w:val="xl79"/>
    <w:basedOn w:val="Normal"/>
    <w:rsid w:val="009519CD"/>
    <w:pP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80">
    <w:name w:val="xl80"/>
    <w:basedOn w:val="Normal"/>
    <w:rsid w:val="009519CD"/>
    <w:pP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81">
    <w:name w:val="xl81"/>
    <w:basedOn w:val="Normal"/>
    <w:rsid w:val="009519CD"/>
    <w:pP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82">
    <w:name w:val="xl82"/>
    <w:basedOn w:val="Normal"/>
    <w:rsid w:val="009519CD"/>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83">
    <w:name w:val="xl83"/>
    <w:basedOn w:val="Normal"/>
    <w:rsid w:val="009519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84">
    <w:name w:val="xl84"/>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4"/>
      <w:szCs w:val="24"/>
      <w:lang w:eastAsia="es-ES"/>
    </w:rPr>
  </w:style>
  <w:style w:type="paragraph" w:customStyle="1" w:styleId="xl85">
    <w:name w:val="xl85"/>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86">
    <w:name w:val="xl86"/>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87">
    <w:name w:val="xl87"/>
    <w:basedOn w:val="Normal"/>
    <w:rsid w:val="009519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ES"/>
    </w:rPr>
  </w:style>
  <w:style w:type="character" w:customStyle="1" w:styleId="Mencinsinresolver2">
    <w:name w:val="Mención sin resolver2"/>
    <w:basedOn w:val="DefaultParagraphFont"/>
    <w:uiPriority w:val="99"/>
    <w:semiHidden/>
    <w:unhideWhenUsed/>
    <w:rsid w:val="00825508"/>
    <w:rPr>
      <w:color w:val="605E5C"/>
      <w:shd w:val="clear" w:color="auto" w:fill="E1DFDD"/>
    </w:rPr>
  </w:style>
  <w:style w:type="table" w:customStyle="1" w:styleId="Tablaconcuadrculaclara1">
    <w:name w:val="Tabla con cuadrícula clara1"/>
    <w:basedOn w:val="TableNormal"/>
    <w:uiPriority w:val="40"/>
    <w:rsid w:val="00D83F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clara1">
    <w:name w:val="Tabla con cuadrícula 1 clara1"/>
    <w:basedOn w:val="TableNormal"/>
    <w:uiPriority w:val="46"/>
    <w:rsid w:val="00D83F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clara-nfasis11">
    <w:name w:val="Tabla con cuadrícula 1 clara - Énfasis 11"/>
    <w:basedOn w:val="TableNormal"/>
    <w:uiPriority w:val="46"/>
    <w:rsid w:val="00D83FBA"/>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customStyle="1" w:styleId="Tablaconcuadrcula1Claro-nfasis21">
    <w:name w:val="Tabla con cuadrícula 1 Claro - Énfasis 21"/>
    <w:basedOn w:val="TableNormal"/>
    <w:uiPriority w:val="46"/>
    <w:rsid w:val="00D83FBA"/>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eNormal"/>
    <w:uiPriority w:val="46"/>
    <w:rsid w:val="00D83FBA"/>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customStyle="1" w:styleId="Tablaconcuadrcula1clara-nfasis41">
    <w:name w:val="Tabla con cuadrícula 1 clara - Énfasis 41"/>
    <w:basedOn w:val="TableNormal"/>
    <w:uiPriority w:val="46"/>
    <w:rsid w:val="00D83FBA"/>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customStyle="1" w:styleId="Tablaconcuadrcula1clara-nfasis51">
    <w:name w:val="Tabla con cuadrícula 1 clara - Énfasis 51"/>
    <w:basedOn w:val="TableNormal"/>
    <w:uiPriority w:val="46"/>
    <w:rsid w:val="00D83FBA"/>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customStyle="1" w:styleId="Tablaconcuadrcula1clara-nfasis61">
    <w:name w:val="Tabla con cuadrícula 1 clara - Énfasis 61"/>
    <w:basedOn w:val="TableNormal"/>
    <w:uiPriority w:val="46"/>
    <w:rsid w:val="00D83FBA"/>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customStyle="1" w:styleId="Tablaconcuadrcula2-nfasis11">
    <w:name w:val="Tabla con cuadrícula 2 - Énfasis 11"/>
    <w:basedOn w:val="TableNormal"/>
    <w:uiPriority w:val="47"/>
    <w:rsid w:val="00D83FBA"/>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concuadrcula2-nfasis21">
    <w:name w:val="Tabla con cuadrícula 2 - Énfasis 21"/>
    <w:basedOn w:val="TableNormal"/>
    <w:uiPriority w:val="47"/>
    <w:rsid w:val="00D83FBA"/>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concuadrcula2-nfasis31">
    <w:name w:val="Tabla con cuadrícula 2 - Énfasis 31"/>
    <w:basedOn w:val="TableNormal"/>
    <w:uiPriority w:val="47"/>
    <w:rsid w:val="00D83FBA"/>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concuadrcula2-nfasis41">
    <w:name w:val="Tabla con cuadrícula 2 - Énfasis 41"/>
    <w:basedOn w:val="TableNormal"/>
    <w:uiPriority w:val="47"/>
    <w:rsid w:val="00D83FBA"/>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concuadrcula2-nfasis51">
    <w:name w:val="Tabla con cuadrícula 2 - Énfasis 51"/>
    <w:basedOn w:val="TableNormal"/>
    <w:uiPriority w:val="47"/>
    <w:rsid w:val="00D83FBA"/>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concuadrcula2-nfasis61">
    <w:name w:val="Tabla con cuadrícula 2 - Énfasis 61"/>
    <w:basedOn w:val="TableNormal"/>
    <w:uiPriority w:val="47"/>
    <w:rsid w:val="00D83FBA"/>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concuadrcula3-nfasis11">
    <w:name w:val="Tabla con cuadrícula 3 - Énfasis 11"/>
    <w:basedOn w:val="TableNormal"/>
    <w:uiPriority w:val="48"/>
    <w:rsid w:val="00D83FBA"/>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Tablaconcuadrcula3-nfasis21">
    <w:name w:val="Tabla con cuadrícula 3 - Énfasis 21"/>
    <w:basedOn w:val="TableNormal"/>
    <w:uiPriority w:val="48"/>
    <w:rsid w:val="00D83FBA"/>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Tablaconcuadrcula3-nfasis31">
    <w:name w:val="Tabla con cuadrícula 3 - Énfasis 31"/>
    <w:basedOn w:val="TableNormal"/>
    <w:uiPriority w:val="48"/>
    <w:rsid w:val="00D83FBA"/>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Tablaconcuadrcula3-nfasis41">
    <w:name w:val="Tabla con cuadrícula 3 - Énfasis 41"/>
    <w:basedOn w:val="TableNormal"/>
    <w:uiPriority w:val="48"/>
    <w:rsid w:val="00D83FBA"/>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Tablaconcuadrcula3-nfasis51">
    <w:name w:val="Tabla con cuadrícula 3 - Énfasis 51"/>
    <w:basedOn w:val="TableNormal"/>
    <w:uiPriority w:val="48"/>
    <w:rsid w:val="00D83FBA"/>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Tablaconcuadrcula3-nfasis61">
    <w:name w:val="Tabla con cuadrícula 3 - Énfasis 61"/>
    <w:basedOn w:val="TableNormal"/>
    <w:uiPriority w:val="48"/>
    <w:rsid w:val="00D83FBA"/>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customStyle="1" w:styleId="Tablaconcuadrcula4-nfasis11">
    <w:name w:val="Tabla con cuadrícula 4 - Énfasis 11"/>
    <w:basedOn w:val="TableNormal"/>
    <w:uiPriority w:val="49"/>
    <w:rsid w:val="00D83FBA"/>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concuadrcula4-nfasis21">
    <w:name w:val="Tabla con cuadrícula 4 - Énfasis 21"/>
    <w:basedOn w:val="TableNormal"/>
    <w:uiPriority w:val="49"/>
    <w:rsid w:val="00D83FBA"/>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concuadrcula4-nfasis31">
    <w:name w:val="Tabla con cuadrícula 4 - Énfasis 31"/>
    <w:basedOn w:val="TableNormal"/>
    <w:uiPriority w:val="49"/>
    <w:rsid w:val="00D83FBA"/>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concuadrcula4-nfasis41">
    <w:name w:val="Tabla con cuadrícula 4 - Énfasis 41"/>
    <w:basedOn w:val="TableNormal"/>
    <w:uiPriority w:val="49"/>
    <w:rsid w:val="00D83FBA"/>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concuadrcula4-nfasis51">
    <w:name w:val="Tabla con cuadrícula 4 - Énfasis 51"/>
    <w:basedOn w:val="TableNormal"/>
    <w:uiPriority w:val="49"/>
    <w:rsid w:val="00D83FBA"/>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concuadrcula4-nfasis61">
    <w:name w:val="Tabla con cuadrícula 4 - Énfasis 61"/>
    <w:basedOn w:val="TableNormal"/>
    <w:uiPriority w:val="49"/>
    <w:rsid w:val="00D83FBA"/>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concuadrcula5oscura1">
    <w:name w:val="Tabla con cuadrícula 5 oscura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concuadrcula5oscura-nfasis11">
    <w:name w:val="Tabla con cuadrícula 5 oscura - Énfasis 1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Tablaconcuadrcula5oscura-nfasis21">
    <w:name w:val="Tabla con cuadrícula 5 oscura - Énfasis 2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Tablaconcuadrcula5oscura-nfasis31">
    <w:name w:val="Tabla con cuadrícula 5 oscura - Énfasis 3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customStyle="1" w:styleId="Tablaconcuadrcula5oscura-nfasis41">
    <w:name w:val="Tabla con cuadrícula 5 oscura - Énfasis 4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customStyle="1" w:styleId="Tablaconcuadrcula5oscura-nfasis51">
    <w:name w:val="Tabla con cuadrícula 5 oscura - Énfasis 5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customStyle="1" w:styleId="Tablaconcuadrcula5oscura-nfasis61">
    <w:name w:val="Tabla con cuadrícula 5 oscura - Énfasis 61"/>
    <w:basedOn w:val="TableNormal"/>
    <w:uiPriority w:val="50"/>
    <w:rsid w:val="00D83F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customStyle="1" w:styleId="Tablaconcuadrcula6concolores1">
    <w:name w:val="Tabla con cuadrícula 6 con colores1"/>
    <w:basedOn w:val="TableNormal"/>
    <w:uiPriority w:val="51"/>
    <w:rsid w:val="00D83F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nfasis11">
    <w:name w:val="Tabla con cuadrícula 6 con colores - Énfasis 11"/>
    <w:basedOn w:val="TableNormal"/>
    <w:uiPriority w:val="51"/>
    <w:rsid w:val="00D83FBA"/>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concuadrcula6concolores-nfasis21">
    <w:name w:val="Tabla con cuadrícula 6 con colores - Énfasis 21"/>
    <w:basedOn w:val="TableNormal"/>
    <w:uiPriority w:val="51"/>
    <w:rsid w:val="00D83FBA"/>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concuadrcula6concolores-nfasis31">
    <w:name w:val="Tabla con cuadrícula 6 con colores - Énfasis 31"/>
    <w:basedOn w:val="TableNormal"/>
    <w:uiPriority w:val="51"/>
    <w:rsid w:val="00D83FBA"/>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Tablaconcuadrcula6concolores-nfasis41">
    <w:name w:val="Tabla con cuadrícula 6 con colores - Énfasis 41"/>
    <w:basedOn w:val="TableNormal"/>
    <w:uiPriority w:val="51"/>
    <w:rsid w:val="00D83FBA"/>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Tablaconcuadrcula6concolores-nfasis51">
    <w:name w:val="Tabla con cuadrícula 6 con colores - Énfasis 51"/>
    <w:basedOn w:val="TableNormal"/>
    <w:uiPriority w:val="51"/>
    <w:rsid w:val="00D83FBA"/>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Tablaconcuadrcula6concolores-nfasis61">
    <w:name w:val="Tabla con cuadrícula 6 con colores - Énfasis 61"/>
    <w:basedOn w:val="TableNormal"/>
    <w:uiPriority w:val="51"/>
    <w:rsid w:val="00D83FBA"/>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Tablaconcuadrcula7concolores1">
    <w:name w:val="Tabla con cuadrícula 7 con colores1"/>
    <w:basedOn w:val="TableNormal"/>
    <w:uiPriority w:val="52"/>
    <w:rsid w:val="00D83F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7concolores-nfasis11">
    <w:name w:val="Tabla con cuadrícula 7 con colores - Énfasis 11"/>
    <w:basedOn w:val="TableNormal"/>
    <w:uiPriority w:val="52"/>
    <w:rsid w:val="00D83FBA"/>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Tablaconcuadrcula7concolores-nfasis21">
    <w:name w:val="Tabla con cuadrícula 7 con colores - Énfasis 21"/>
    <w:basedOn w:val="TableNormal"/>
    <w:uiPriority w:val="52"/>
    <w:rsid w:val="00D83FBA"/>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Tablaconcuadrcula7concolores-nfasis31">
    <w:name w:val="Tabla con cuadrícula 7 con colores - Énfasis 31"/>
    <w:basedOn w:val="TableNormal"/>
    <w:uiPriority w:val="52"/>
    <w:rsid w:val="00D83FBA"/>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Tablaconcuadrcula7concolores-nfasis41">
    <w:name w:val="Tabla con cuadrícula 7 con colores - Énfasis 41"/>
    <w:basedOn w:val="TableNormal"/>
    <w:uiPriority w:val="52"/>
    <w:rsid w:val="00D83FBA"/>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Tablaconcuadrcula7concolores-nfasis51">
    <w:name w:val="Tabla con cuadrícula 7 con colores - Énfasis 51"/>
    <w:basedOn w:val="TableNormal"/>
    <w:uiPriority w:val="52"/>
    <w:rsid w:val="00D83FBA"/>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Tablaconcuadrcula7concolores-nfasis61">
    <w:name w:val="Tabla con cuadrícula 7 con colores - Énfasis 61"/>
    <w:basedOn w:val="TableNormal"/>
    <w:uiPriority w:val="52"/>
    <w:rsid w:val="00D83FBA"/>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paragraph" w:customStyle="1" w:styleId="Default">
    <w:name w:val="Default"/>
    <w:rsid w:val="00D83FBA"/>
    <w:pPr>
      <w:autoSpaceDE w:val="0"/>
      <w:autoSpaceDN w:val="0"/>
      <w:adjustRightInd w:val="0"/>
    </w:pPr>
    <w:rPr>
      <w:rFonts w:ascii="Arial" w:eastAsiaTheme="minorHAnsi" w:hAnsi="Arial" w:cs="Arial"/>
      <w:color w:val="000000"/>
      <w:lang w:eastAsia="en-US"/>
    </w:rPr>
  </w:style>
  <w:style w:type="paragraph" w:customStyle="1" w:styleId="Ttuloartculo">
    <w:name w:val="Título artículo"/>
    <w:basedOn w:val="Normal"/>
    <w:next w:val="NombreAutores"/>
    <w:rsid w:val="00D83FBA"/>
    <w:pPr>
      <w:jc w:val="center"/>
    </w:pPr>
    <w:rPr>
      <w:rFonts w:ascii="Times New Roman" w:eastAsia="Times New Roman" w:hAnsi="Times New Roman" w:cs="Times New Roman"/>
      <w:b/>
      <w:sz w:val="24"/>
      <w:szCs w:val="20"/>
      <w:lang w:eastAsia="es-ES"/>
    </w:rPr>
  </w:style>
  <w:style w:type="paragraph" w:customStyle="1" w:styleId="NombreAutores">
    <w:name w:val="Nombre Autores"/>
    <w:basedOn w:val="Normal"/>
    <w:rsid w:val="00D83FBA"/>
    <w:pPr>
      <w:tabs>
        <w:tab w:val="center" w:pos="1985"/>
        <w:tab w:val="center" w:pos="5954"/>
      </w:tabs>
      <w:jc w:val="both"/>
    </w:pPr>
    <w:rPr>
      <w:rFonts w:ascii="Times New Roman" w:eastAsia="Times New Roman" w:hAnsi="Times New Roman" w:cs="Times New Roman"/>
      <w:sz w:val="22"/>
      <w:szCs w:val="20"/>
      <w:lang w:eastAsia="es-ES"/>
    </w:rPr>
  </w:style>
  <w:style w:type="paragraph" w:customStyle="1" w:styleId="DatosAutores">
    <w:name w:val="Datos Autores"/>
    <w:basedOn w:val="Normal"/>
    <w:rsid w:val="00D83FBA"/>
    <w:pPr>
      <w:tabs>
        <w:tab w:val="center" w:pos="1985"/>
        <w:tab w:val="center" w:pos="5954"/>
      </w:tabs>
      <w:jc w:val="both"/>
    </w:pPr>
    <w:rPr>
      <w:rFonts w:ascii="Times New Roman" w:eastAsia="Times New Roman" w:hAnsi="Times New Roman" w:cs="Times New Roman"/>
      <w:sz w:val="20"/>
      <w:szCs w:val="20"/>
      <w:lang w:eastAsia="es-ES"/>
    </w:rPr>
  </w:style>
  <w:style w:type="paragraph" w:styleId="Revision">
    <w:name w:val="Revision"/>
    <w:hidden/>
    <w:uiPriority w:val="99"/>
    <w:semiHidden/>
    <w:rsid w:val="00D83FBA"/>
    <w:rPr>
      <w:rFonts w:ascii="Century Gothic" w:hAnsi="Century Gothic"/>
      <w:sz w:val="18"/>
      <w:szCs w:val="22"/>
    </w:rPr>
  </w:style>
  <w:style w:type="table" w:styleId="PlainTable1">
    <w:name w:val="Plain Table 1"/>
    <w:basedOn w:val="TableNormal"/>
    <w:uiPriority w:val="41"/>
    <w:rsid w:val="00393E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93E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93EB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93E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93E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393EB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93EB8"/>
    <w:tblPr>
      <w:tblStyleRowBandSize w:val="1"/>
      <w:tblStyleColBandSize w:val="1"/>
    </w:tblPr>
    <w:tblStylePr w:type="firstRow">
      <w:rPr>
        <w:b/>
        <w:bCs/>
      </w:rPr>
      <w:tblPr/>
      <w:tcPr>
        <w:tcBorders>
          <w:bottom w:val="single" w:sz="4" w:space="0" w:color="BED3E4" w:themeColor="accent1" w:themeTint="99"/>
        </w:tcBorders>
      </w:tcPr>
    </w:tblStylePr>
    <w:tblStylePr w:type="lastRow">
      <w:rPr>
        <w:b/>
        <w:bCs/>
      </w:rPr>
      <w:tblPr/>
      <w:tcPr>
        <w:tcBorders>
          <w:top w:val="sing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rsid w:val="00393EB8"/>
    <w:tblPr>
      <w:tblStyleRowBandSize w:val="1"/>
      <w:tblStyleColBandSize w:val="1"/>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stTable1Light-Accent3">
    <w:name w:val="List Table 1 Light Accent 3"/>
    <w:basedOn w:val="TableNormal"/>
    <w:uiPriority w:val="46"/>
    <w:rsid w:val="00393EB8"/>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stTable1Light-Accent4">
    <w:name w:val="List Table 1 Light Accent 4"/>
    <w:basedOn w:val="TableNormal"/>
    <w:uiPriority w:val="46"/>
    <w:rsid w:val="00393EB8"/>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stTable1Light-Accent5">
    <w:name w:val="List Table 1 Light Accent 5"/>
    <w:basedOn w:val="TableNormal"/>
    <w:uiPriority w:val="46"/>
    <w:rsid w:val="00393EB8"/>
    <w:tblPr>
      <w:tblStyleRowBandSize w:val="1"/>
      <w:tblStyleColBandSize w:val="1"/>
    </w:tblPr>
    <w:tblStylePr w:type="firstRow">
      <w:rPr>
        <w:b/>
        <w:bCs/>
      </w:rPr>
      <w:tblPr/>
      <w:tcPr>
        <w:tcBorders>
          <w:bottom w:val="single" w:sz="4" w:space="0" w:color="AFCAC4" w:themeColor="accent5" w:themeTint="99"/>
        </w:tcBorders>
      </w:tcPr>
    </w:tblStylePr>
    <w:tblStylePr w:type="lastRow">
      <w:rPr>
        <w:b/>
        <w:bCs/>
      </w:rPr>
      <w:tblPr/>
      <w:tcPr>
        <w:tcBorders>
          <w:top w:val="sing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stTable1Light-Accent6">
    <w:name w:val="List Table 1 Light Accent 6"/>
    <w:basedOn w:val="TableNormal"/>
    <w:uiPriority w:val="46"/>
    <w:rsid w:val="00393EB8"/>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stTable2">
    <w:name w:val="List Table 2"/>
    <w:basedOn w:val="TableNormal"/>
    <w:uiPriority w:val="47"/>
    <w:rsid w:val="00393E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93EB8"/>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2-Accent2">
    <w:name w:val="List Table 2 Accent 2"/>
    <w:basedOn w:val="TableNormal"/>
    <w:uiPriority w:val="47"/>
    <w:rsid w:val="00393EB8"/>
    <w:tblPr>
      <w:tblStyleRowBandSize w:val="1"/>
      <w:tblStyleColBandSize w:val="1"/>
      <w:tblBorders>
        <w:top w:val="single" w:sz="4" w:space="0" w:color="EAB290" w:themeColor="accent2" w:themeTint="99"/>
        <w:bottom w:val="single" w:sz="4" w:space="0" w:color="EAB290" w:themeColor="accent2" w:themeTint="99"/>
        <w:insideH w:val="single" w:sz="4" w:space="0" w:color="EAB2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stTable2-Accent3">
    <w:name w:val="List Table 2 Accent 3"/>
    <w:basedOn w:val="TableNormal"/>
    <w:uiPriority w:val="47"/>
    <w:rsid w:val="00393EB8"/>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stTable2-Accent4">
    <w:name w:val="List Table 2 Accent 4"/>
    <w:basedOn w:val="TableNormal"/>
    <w:uiPriority w:val="47"/>
    <w:rsid w:val="00393EB8"/>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stTable2-Accent5">
    <w:name w:val="List Table 2 Accent 5"/>
    <w:basedOn w:val="TableNormal"/>
    <w:uiPriority w:val="47"/>
    <w:rsid w:val="00393EB8"/>
    <w:tblPr>
      <w:tblStyleRowBandSize w:val="1"/>
      <w:tblStyleColBandSize w:val="1"/>
      <w:tblBorders>
        <w:top w:val="single" w:sz="4" w:space="0" w:color="AFCAC4" w:themeColor="accent5" w:themeTint="99"/>
        <w:bottom w:val="single" w:sz="4" w:space="0" w:color="AFCAC4" w:themeColor="accent5" w:themeTint="99"/>
        <w:insideH w:val="single" w:sz="4" w:space="0" w:color="AFCAC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stTable2-Accent6">
    <w:name w:val="List Table 2 Accent 6"/>
    <w:basedOn w:val="TableNormal"/>
    <w:uiPriority w:val="47"/>
    <w:rsid w:val="00393EB8"/>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stTable3">
    <w:name w:val="List Table 3"/>
    <w:basedOn w:val="TableNormal"/>
    <w:uiPriority w:val="48"/>
    <w:rsid w:val="00393EB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93EB8"/>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b/>
        <w:bCs/>
        <w:color w:val="FFFFFF" w:themeColor="background1"/>
      </w:rPr>
      <w:tblPr/>
      <w:tcPr>
        <w:shd w:val="clear" w:color="auto" w:fill="94B6D2" w:themeFill="accent1"/>
      </w:tcPr>
    </w:tblStylePr>
    <w:tblStylePr w:type="lastRow">
      <w:rPr>
        <w:b/>
        <w:bCs/>
      </w:rPr>
      <w:tblPr/>
      <w:tcPr>
        <w:tcBorders>
          <w:top w:val="double" w:sz="4" w:space="0" w:color="94B6D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6D2" w:themeColor="accent1"/>
          <w:right w:val="single" w:sz="4" w:space="0" w:color="94B6D2" w:themeColor="accent1"/>
        </w:tcBorders>
      </w:tcPr>
    </w:tblStylePr>
    <w:tblStylePr w:type="band1Horz">
      <w:tblPr/>
      <w:tcPr>
        <w:tcBorders>
          <w:top w:val="single" w:sz="4" w:space="0" w:color="94B6D2" w:themeColor="accent1"/>
          <w:bottom w:val="single" w:sz="4" w:space="0" w:color="94B6D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themeColor="accent1"/>
          <w:left w:val="nil"/>
        </w:tcBorders>
      </w:tcPr>
    </w:tblStylePr>
    <w:tblStylePr w:type="swCell">
      <w:tblPr/>
      <w:tcPr>
        <w:tcBorders>
          <w:top w:val="double" w:sz="4" w:space="0" w:color="94B6D2" w:themeColor="accent1"/>
          <w:right w:val="nil"/>
        </w:tcBorders>
      </w:tcPr>
    </w:tblStylePr>
  </w:style>
  <w:style w:type="table" w:styleId="ListTable3-Accent2">
    <w:name w:val="List Table 3 Accent 2"/>
    <w:basedOn w:val="TableNormal"/>
    <w:uiPriority w:val="48"/>
    <w:rsid w:val="00393EB8"/>
    <w:tblPr>
      <w:tblStyleRowBandSize w:val="1"/>
      <w:tblStyleColBandSize w:val="1"/>
      <w:tblBorders>
        <w:top w:val="single" w:sz="4" w:space="0" w:color="DD8047" w:themeColor="accent2"/>
        <w:left w:val="single" w:sz="4" w:space="0" w:color="DD8047" w:themeColor="accent2"/>
        <w:bottom w:val="single" w:sz="4" w:space="0" w:color="DD8047" w:themeColor="accent2"/>
        <w:right w:val="single" w:sz="4" w:space="0" w:color="DD8047" w:themeColor="accent2"/>
      </w:tblBorders>
    </w:tblPr>
    <w:tblStylePr w:type="firstRow">
      <w:rPr>
        <w:b/>
        <w:bCs/>
        <w:color w:val="FFFFFF" w:themeColor="background1"/>
      </w:rPr>
      <w:tblPr/>
      <w:tcPr>
        <w:shd w:val="clear" w:color="auto" w:fill="DD8047" w:themeFill="accent2"/>
      </w:tcPr>
    </w:tblStylePr>
    <w:tblStylePr w:type="lastRow">
      <w:rPr>
        <w:b/>
        <w:bCs/>
      </w:rPr>
      <w:tblPr/>
      <w:tcPr>
        <w:tcBorders>
          <w:top w:val="double" w:sz="4" w:space="0" w:color="DD80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8047" w:themeColor="accent2"/>
          <w:right w:val="single" w:sz="4" w:space="0" w:color="DD8047" w:themeColor="accent2"/>
        </w:tcBorders>
      </w:tcPr>
    </w:tblStylePr>
    <w:tblStylePr w:type="band1Horz">
      <w:tblPr/>
      <w:tcPr>
        <w:tcBorders>
          <w:top w:val="single" w:sz="4" w:space="0" w:color="DD8047" w:themeColor="accent2"/>
          <w:bottom w:val="single" w:sz="4" w:space="0" w:color="DD80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themeColor="accent2"/>
          <w:left w:val="nil"/>
        </w:tcBorders>
      </w:tcPr>
    </w:tblStylePr>
    <w:tblStylePr w:type="swCell">
      <w:tblPr/>
      <w:tcPr>
        <w:tcBorders>
          <w:top w:val="double" w:sz="4" w:space="0" w:color="DD8047" w:themeColor="accent2"/>
          <w:right w:val="nil"/>
        </w:tcBorders>
      </w:tcPr>
    </w:tblStylePr>
  </w:style>
  <w:style w:type="table" w:styleId="ListTable3-Accent3">
    <w:name w:val="List Table 3 Accent 3"/>
    <w:basedOn w:val="TableNormal"/>
    <w:uiPriority w:val="48"/>
    <w:rsid w:val="00393EB8"/>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styleId="ListTable3-Accent4">
    <w:name w:val="List Table 3 Accent 4"/>
    <w:basedOn w:val="TableNormal"/>
    <w:uiPriority w:val="48"/>
    <w:rsid w:val="00393EB8"/>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styleId="ListTable3-Accent5">
    <w:name w:val="List Table 3 Accent 5"/>
    <w:basedOn w:val="TableNormal"/>
    <w:uiPriority w:val="48"/>
    <w:rsid w:val="00393EB8"/>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tblBorders>
    </w:tblPr>
    <w:tblStylePr w:type="firstRow">
      <w:rPr>
        <w:b/>
        <w:bCs/>
        <w:color w:val="FFFFFF" w:themeColor="background1"/>
      </w:rPr>
      <w:tblPr/>
      <w:tcPr>
        <w:shd w:val="clear" w:color="auto" w:fill="7BA79D" w:themeFill="accent5"/>
      </w:tcPr>
    </w:tblStylePr>
    <w:tblStylePr w:type="lastRow">
      <w:rPr>
        <w:b/>
        <w:bCs/>
      </w:rPr>
      <w:tblPr/>
      <w:tcPr>
        <w:tcBorders>
          <w:top w:val="double" w:sz="4" w:space="0" w:color="7BA7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A79D" w:themeColor="accent5"/>
          <w:right w:val="single" w:sz="4" w:space="0" w:color="7BA79D" w:themeColor="accent5"/>
        </w:tcBorders>
      </w:tcPr>
    </w:tblStylePr>
    <w:tblStylePr w:type="band1Horz">
      <w:tblPr/>
      <w:tcPr>
        <w:tcBorders>
          <w:top w:val="single" w:sz="4" w:space="0" w:color="7BA79D" w:themeColor="accent5"/>
          <w:bottom w:val="single" w:sz="4" w:space="0" w:color="7BA7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themeColor="accent5"/>
          <w:left w:val="nil"/>
        </w:tcBorders>
      </w:tcPr>
    </w:tblStylePr>
    <w:tblStylePr w:type="swCell">
      <w:tblPr/>
      <w:tcPr>
        <w:tcBorders>
          <w:top w:val="double" w:sz="4" w:space="0" w:color="7BA79D" w:themeColor="accent5"/>
          <w:right w:val="nil"/>
        </w:tcBorders>
      </w:tcPr>
    </w:tblStylePr>
  </w:style>
  <w:style w:type="table" w:styleId="ListTable3-Accent6">
    <w:name w:val="List Table 3 Accent 6"/>
    <w:basedOn w:val="TableNormal"/>
    <w:uiPriority w:val="48"/>
    <w:rsid w:val="00393EB8"/>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styleId="ListTable4">
    <w:name w:val="List Table 4"/>
    <w:basedOn w:val="TableNormal"/>
    <w:uiPriority w:val="49"/>
    <w:rsid w:val="00393E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93EB8"/>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tcBorders>
        <w:shd w:val="clear" w:color="auto" w:fill="94B6D2" w:themeFill="accent1"/>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4-Accent2">
    <w:name w:val="List Table 4 Accent 2"/>
    <w:basedOn w:val="TableNormal"/>
    <w:uiPriority w:val="49"/>
    <w:rsid w:val="00393EB8"/>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tcBorders>
        <w:shd w:val="clear" w:color="auto" w:fill="DD8047" w:themeFill="accent2"/>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stTable4-Accent3">
    <w:name w:val="List Table 4 Accent 3"/>
    <w:basedOn w:val="TableNormal"/>
    <w:uiPriority w:val="49"/>
    <w:rsid w:val="00393EB8"/>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stTable4-Accent4">
    <w:name w:val="List Table 4 Accent 4"/>
    <w:basedOn w:val="TableNormal"/>
    <w:uiPriority w:val="49"/>
    <w:rsid w:val="00393EB8"/>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stTable4-Accent5">
    <w:name w:val="List Table 4 Accent 5"/>
    <w:basedOn w:val="TableNormal"/>
    <w:uiPriority w:val="49"/>
    <w:rsid w:val="00393EB8"/>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tcBorders>
        <w:shd w:val="clear" w:color="auto" w:fill="7BA79D" w:themeFill="accent5"/>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stTable4-Accent6">
    <w:name w:val="List Table 4 Accent 6"/>
    <w:basedOn w:val="TableNormal"/>
    <w:uiPriority w:val="49"/>
    <w:rsid w:val="00393EB8"/>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stTable5Dark">
    <w:name w:val="List Table 5 Dark"/>
    <w:basedOn w:val="TableNormal"/>
    <w:uiPriority w:val="50"/>
    <w:rsid w:val="00393EB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93EB8"/>
    <w:rPr>
      <w:color w:val="FFFFFF" w:themeColor="background1"/>
    </w:rPr>
    <w:tblPr>
      <w:tblStyleRowBandSize w:val="1"/>
      <w:tblStyleColBandSize w:val="1"/>
      <w:tblBorders>
        <w:top w:val="single" w:sz="24" w:space="0" w:color="94B6D2" w:themeColor="accent1"/>
        <w:left w:val="single" w:sz="24" w:space="0" w:color="94B6D2" w:themeColor="accent1"/>
        <w:bottom w:val="single" w:sz="24" w:space="0" w:color="94B6D2" w:themeColor="accent1"/>
        <w:right w:val="single" w:sz="24" w:space="0" w:color="94B6D2" w:themeColor="accent1"/>
      </w:tblBorders>
    </w:tblPr>
    <w:tcPr>
      <w:shd w:val="clear" w:color="auto" w:fill="94B6D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93EB8"/>
    <w:rPr>
      <w:color w:val="FFFFFF" w:themeColor="background1"/>
    </w:rPr>
    <w:tblPr>
      <w:tblStyleRowBandSize w:val="1"/>
      <w:tblStyleColBandSize w:val="1"/>
      <w:tblBorders>
        <w:top w:val="single" w:sz="24" w:space="0" w:color="DD8047" w:themeColor="accent2"/>
        <w:left w:val="single" w:sz="24" w:space="0" w:color="DD8047" w:themeColor="accent2"/>
        <w:bottom w:val="single" w:sz="24" w:space="0" w:color="DD8047" w:themeColor="accent2"/>
        <w:right w:val="single" w:sz="24" w:space="0" w:color="DD8047" w:themeColor="accent2"/>
      </w:tblBorders>
    </w:tblPr>
    <w:tcPr>
      <w:shd w:val="clear" w:color="auto" w:fill="DD80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93EB8"/>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93EB8"/>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93EB8"/>
    <w:rPr>
      <w:color w:val="FFFFFF" w:themeColor="background1"/>
    </w:rPr>
    <w:tblPr>
      <w:tblStyleRowBandSize w:val="1"/>
      <w:tblStyleColBandSize w:val="1"/>
      <w:tblBorders>
        <w:top w:val="single" w:sz="24" w:space="0" w:color="7BA79D" w:themeColor="accent5"/>
        <w:left w:val="single" w:sz="24" w:space="0" w:color="7BA79D" w:themeColor="accent5"/>
        <w:bottom w:val="single" w:sz="24" w:space="0" w:color="7BA79D" w:themeColor="accent5"/>
        <w:right w:val="single" w:sz="24" w:space="0" w:color="7BA79D" w:themeColor="accent5"/>
      </w:tblBorders>
    </w:tblPr>
    <w:tcPr>
      <w:shd w:val="clear" w:color="auto" w:fill="7BA7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93EB8"/>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93EB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93EB8"/>
    <w:rPr>
      <w:color w:val="548AB7" w:themeColor="accent1" w:themeShade="BF"/>
    </w:rPr>
    <w:tblPr>
      <w:tblStyleRowBandSize w:val="1"/>
      <w:tblStyleColBandSize w:val="1"/>
      <w:tblBorders>
        <w:top w:val="single" w:sz="4" w:space="0" w:color="94B6D2" w:themeColor="accent1"/>
        <w:bottom w:val="single" w:sz="4" w:space="0" w:color="94B6D2" w:themeColor="accent1"/>
      </w:tblBorders>
    </w:tblPr>
    <w:tblStylePr w:type="firstRow">
      <w:rPr>
        <w:b/>
        <w:bCs/>
      </w:rPr>
      <w:tblPr/>
      <w:tcPr>
        <w:tcBorders>
          <w:bottom w:val="single" w:sz="4" w:space="0" w:color="94B6D2" w:themeColor="accent1"/>
        </w:tcBorders>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6Colorful-Accent2">
    <w:name w:val="List Table 6 Colorful Accent 2"/>
    <w:basedOn w:val="TableNormal"/>
    <w:uiPriority w:val="51"/>
    <w:rsid w:val="00393EB8"/>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stTable6Colorful-Accent3">
    <w:name w:val="List Table 6 Colorful Accent 3"/>
    <w:basedOn w:val="TableNormal"/>
    <w:uiPriority w:val="51"/>
    <w:rsid w:val="00393EB8"/>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stTable6Colorful-Accent4">
    <w:name w:val="List Table 6 Colorful Accent 4"/>
    <w:basedOn w:val="TableNormal"/>
    <w:uiPriority w:val="51"/>
    <w:rsid w:val="00393EB8"/>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stTable6Colorful-Accent5">
    <w:name w:val="List Table 6 Colorful Accent 5"/>
    <w:basedOn w:val="TableNormal"/>
    <w:uiPriority w:val="51"/>
    <w:rsid w:val="00393EB8"/>
    <w:rPr>
      <w:color w:val="568278" w:themeColor="accent5" w:themeShade="BF"/>
    </w:rPr>
    <w:tblPr>
      <w:tblStyleRowBandSize w:val="1"/>
      <w:tblStyleColBandSize w:val="1"/>
      <w:tblBorders>
        <w:top w:val="single" w:sz="4" w:space="0" w:color="7BA79D" w:themeColor="accent5"/>
        <w:bottom w:val="single" w:sz="4" w:space="0" w:color="7BA79D" w:themeColor="accent5"/>
      </w:tblBorders>
    </w:tblPr>
    <w:tblStylePr w:type="firstRow">
      <w:rPr>
        <w:b/>
        <w:bCs/>
      </w:rPr>
      <w:tblPr/>
      <w:tcPr>
        <w:tcBorders>
          <w:bottom w:val="single" w:sz="4" w:space="0" w:color="7BA79D" w:themeColor="accent5"/>
        </w:tcBorders>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stTable6Colorful-Accent6">
    <w:name w:val="List Table 6 Colorful Accent 6"/>
    <w:basedOn w:val="TableNormal"/>
    <w:uiPriority w:val="51"/>
    <w:rsid w:val="00393EB8"/>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stTable7Colorful">
    <w:name w:val="List Table 7 Colorful"/>
    <w:basedOn w:val="TableNormal"/>
    <w:uiPriority w:val="52"/>
    <w:rsid w:val="00393EB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93EB8"/>
    <w:rPr>
      <w:color w:val="548AB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93EB8"/>
    <w:rPr>
      <w:color w:val="B85A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80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80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80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8047" w:themeColor="accent2"/>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93EB8"/>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93EB8"/>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93EB8"/>
    <w:rPr>
      <w:color w:val="5682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A7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A7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A7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A79D" w:themeColor="accent5"/>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93EB8"/>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93E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93E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93EB8"/>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93EB8"/>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93EB8"/>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93EB8"/>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93EB8"/>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93EB8"/>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93EB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93EB8"/>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2-Accent2">
    <w:name w:val="Grid Table 2 Accent 2"/>
    <w:basedOn w:val="TableNormal"/>
    <w:uiPriority w:val="47"/>
    <w:rsid w:val="00393EB8"/>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2-Accent3">
    <w:name w:val="Grid Table 2 Accent 3"/>
    <w:basedOn w:val="TableNormal"/>
    <w:uiPriority w:val="47"/>
    <w:rsid w:val="00393EB8"/>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2-Accent4">
    <w:name w:val="Grid Table 2 Accent 4"/>
    <w:basedOn w:val="TableNormal"/>
    <w:uiPriority w:val="47"/>
    <w:rsid w:val="00393EB8"/>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GridTable2-Accent5">
    <w:name w:val="Grid Table 2 Accent 5"/>
    <w:basedOn w:val="TableNormal"/>
    <w:uiPriority w:val="47"/>
    <w:rsid w:val="00393EB8"/>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GridTable2-Accent6">
    <w:name w:val="Grid Table 2 Accent 6"/>
    <w:basedOn w:val="TableNormal"/>
    <w:uiPriority w:val="47"/>
    <w:rsid w:val="00393EB8"/>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GridTable3">
    <w:name w:val="Grid Table 3"/>
    <w:basedOn w:val="TableNormal"/>
    <w:uiPriority w:val="48"/>
    <w:rsid w:val="00393E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93EB8"/>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GridTable3-Accent2">
    <w:name w:val="Grid Table 3 Accent 2"/>
    <w:basedOn w:val="TableNormal"/>
    <w:uiPriority w:val="48"/>
    <w:rsid w:val="00393EB8"/>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GridTable3-Accent3">
    <w:name w:val="Grid Table 3 Accent 3"/>
    <w:basedOn w:val="TableNormal"/>
    <w:uiPriority w:val="48"/>
    <w:rsid w:val="00393EB8"/>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3-Accent4">
    <w:name w:val="Grid Table 3 Accent 4"/>
    <w:basedOn w:val="TableNormal"/>
    <w:uiPriority w:val="48"/>
    <w:rsid w:val="00393EB8"/>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GridTable3-Accent5">
    <w:name w:val="Grid Table 3 Accent 5"/>
    <w:basedOn w:val="TableNormal"/>
    <w:uiPriority w:val="48"/>
    <w:rsid w:val="00393EB8"/>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GridTable3-Accent6">
    <w:name w:val="Grid Table 3 Accent 6"/>
    <w:basedOn w:val="TableNormal"/>
    <w:uiPriority w:val="48"/>
    <w:rsid w:val="00393EB8"/>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GridTable4">
    <w:name w:val="Grid Table 4"/>
    <w:basedOn w:val="TableNormal"/>
    <w:uiPriority w:val="49"/>
    <w:rsid w:val="00393E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93EB8"/>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rsid w:val="00393EB8"/>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4-Accent3">
    <w:name w:val="Grid Table 4 Accent 3"/>
    <w:basedOn w:val="TableNormal"/>
    <w:uiPriority w:val="49"/>
    <w:rsid w:val="00393EB8"/>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4-Accent4">
    <w:name w:val="Grid Table 4 Accent 4"/>
    <w:basedOn w:val="TableNormal"/>
    <w:uiPriority w:val="49"/>
    <w:rsid w:val="00393EB8"/>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GridTable4-Accent5">
    <w:name w:val="Grid Table 4 Accent 5"/>
    <w:basedOn w:val="TableNormal"/>
    <w:uiPriority w:val="49"/>
    <w:rsid w:val="00393EB8"/>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GridTable4-Accent6">
    <w:name w:val="Grid Table 4 Accent 6"/>
    <w:basedOn w:val="TableNormal"/>
    <w:uiPriority w:val="49"/>
    <w:rsid w:val="00393EB8"/>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GridTable5Dark">
    <w:name w:val="Grid Table 5 Dark"/>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5Dark-Accent2">
    <w:name w:val="Grid Table 5 Dark Accent 2"/>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styleId="GridTable5Dark-Accent3">
    <w:name w:val="Grid Table 5 Dark Accent 3"/>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5Dark-Accent4">
    <w:name w:val="Grid Table 5 Dark Accent 4"/>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styleId="GridTable5Dark-Accent5">
    <w:name w:val="Grid Table 5 Dark Accent 5"/>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styleId="GridTable5Dark-Accent6">
    <w:name w:val="Grid Table 5 Dark Accent 6"/>
    <w:basedOn w:val="TableNormal"/>
    <w:uiPriority w:val="50"/>
    <w:rsid w:val="00393E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styleId="GridTable6Colorful">
    <w:name w:val="Grid Table 6 Colorful"/>
    <w:basedOn w:val="TableNormal"/>
    <w:uiPriority w:val="51"/>
    <w:rsid w:val="00393EB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93EB8"/>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6Colorful-Accent2">
    <w:name w:val="Grid Table 6 Colorful Accent 2"/>
    <w:basedOn w:val="TableNormal"/>
    <w:uiPriority w:val="51"/>
    <w:rsid w:val="00393EB8"/>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6Colorful-Accent3">
    <w:name w:val="Grid Table 6 Colorful Accent 3"/>
    <w:basedOn w:val="TableNormal"/>
    <w:uiPriority w:val="51"/>
    <w:rsid w:val="00393EB8"/>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6Colorful-Accent4">
    <w:name w:val="Grid Table 6 Colorful Accent 4"/>
    <w:basedOn w:val="TableNormal"/>
    <w:uiPriority w:val="51"/>
    <w:rsid w:val="00393EB8"/>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GridTable6Colorful-Accent5">
    <w:name w:val="Grid Table 6 Colorful Accent 5"/>
    <w:basedOn w:val="TableNormal"/>
    <w:uiPriority w:val="51"/>
    <w:rsid w:val="00393EB8"/>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GridTable6Colorful-Accent6">
    <w:name w:val="Grid Table 6 Colorful Accent 6"/>
    <w:basedOn w:val="TableNormal"/>
    <w:uiPriority w:val="51"/>
    <w:rsid w:val="00393EB8"/>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GridTable7Colorful">
    <w:name w:val="Grid Table 7 Colorful"/>
    <w:basedOn w:val="TableNormal"/>
    <w:uiPriority w:val="52"/>
    <w:rsid w:val="00393EB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93EB8"/>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GridTable7Colorful-Accent2">
    <w:name w:val="Grid Table 7 Colorful Accent 2"/>
    <w:basedOn w:val="TableNormal"/>
    <w:uiPriority w:val="52"/>
    <w:rsid w:val="00393EB8"/>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GridTable7Colorful-Accent3">
    <w:name w:val="Grid Table 7 Colorful Accent 3"/>
    <w:basedOn w:val="TableNormal"/>
    <w:uiPriority w:val="52"/>
    <w:rsid w:val="00393EB8"/>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7Colorful-Accent4">
    <w:name w:val="Grid Table 7 Colorful Accent 4"/>
    <w:basedOn w:val="TableNormal"/>
    <w:uiPriority w:val="52"/>
    <w:rsid w:val="00393EB8"/>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GridTable7Colorful-Accent5">
    <w:name w:val="Grid Table 7 Colorful Accent 5"/>
    <w:basedOn w:val="TableNormal"/>
    <w:uiPriority w:val="52"/>
    <w:rsid w:val="00393EB8"/>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GridTable7Colorful-Accent6">
    <w:name w:val="Grid Table 7 Colorful Accent 6"/>
    <w:basedOn w:val="TableNormal"/>
    <w:uiPriority w:val="52"/>
    <w:rsid w:val="00393EB8"/>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numbering" w:customStyle="1" w:styleId="1111111">
    <w:name w:val="1 / 1.1 / 1.1.11"/>
    <w:basedOn w:val="NoList"/>
    <w:next w:val="111111"/>
    <w:uiPriority w:val="99"/>
    <w:semiHidden/>
    <w:unhideWhenUsed/>
    <w:rsid w:val="00982982"/>
  </w:style>
  <w:style w:type="numbering" w:customStyle="1" w:styleId="1ai1">
    <w:name w:val="1 / a / i1"/>
    <w:basedOn w:val="NoList"/>
    <w:next w:val="1ai"/>
    <w:uiPriority w:val="99"/>
    <w:semiHidden/>
    <w:unhideWhenUsed/>
    <w:rsid w:val="00982982"/>
  </w:style>
  <w:style w:type="table" w:customStyle="1" w:styleId="Tablaconcuadrcula11">
    <w:name w:val="Tabla con cuadrícula11"/>
    <w:basedOn w:val="TableNormal"/>
    <w:next w:val="TableGrid"/>
    <w:uiPriority w:val="39"/>
    <w:rsid w:val="001E4133"/>
    <w:rPr>
      <w:rFonts w:eastAsia="Calibri"/>
      <w:kern w:val="2"/>
      <w:sz w:val="22"/>
      <w:szCs w:val="22"/>
      <w:lang w:val="es-EC"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E4DDE"/>
    <w:pPr>
      <w:spacing w:after="200" w:line="276" w:lineRule="auto"/>
    </w:pPr>
    <w:rPr>
      <w:rFonts w:ascii="Calibri" w:eastAsia="Calibri" w:hAnsi="Calibri" w:cs="Calibri"/>
      <w:sz w:val="22"/>
      <w:szCs w:val="22"/>
      <w:lang w:val="es-ES_tradnl" w:eastAsia="es-PE"/>
    </w:rPr>
    <w:tblPr>
      <w:tblCellMar>
        <w:top w:w="0" w:type="dxa"/>
        <w:left w:w="0" w:type="dxa"/>
        <w:bottom w:w="0" w:type="dxa"/>
        <w:right w:w="0" w:type="dxa"/>
      </w:tblCellMar>
    </w:tblPr>
  </w:style>
  <w:style w:type="character" w:customStyle="1" w:styleId="y2iqfc">
    <w:name w:val="y2iqfc"/>
    <w:basedOn w:val="DefaultParagraphFont"/>
    <w:rsid w:val="009E4DDE"/>
  </w:style>
  <w:style w:type="character" w:customStyle="1" w:styleId="Mencinsinresolver20">
    <w:name w:val="Mención sin resolver2"/>
    <w:basedOn w:val="DefaultParagraphFont"/>
    <w:uiPriority w:val="99"/>
    <w:semiHidden/>
    <w:unhideWhenUsed/>
    <w:rsid w:val="009E4DDE"/>
    <w:rPr>
      <w:color w:val="605E5C"/>
      <w:shd w:val="clear" w:color="auto" w:fill="E1DFDD"/>
    </w:rPr>
  </w:style>
  <w:style w:type="paragraph" w:customStyle="1" w:styleId="show">
    <w:name w:val="show"/>
    <w:basedOn w:val="Normal"/>
    <w:rsid w:val="009E4DDE"/>
    <w:pPr>
      <w:spacing w:before="100" w:beforeAutospacing="1" w:after="100" w:afterAutospacing="1"/>
      <w:jc w:val="both"/>
    </w:pPr>
    <w:rPr>
      <w:rFonts w:ascii="Times New Roman" w:eastAsia="Times New Roman" w:hAnsi="Times New Roman" w:cs="Times New Roman"/>
      <w:sz w:val="24"/>
      <w:szCs w:val="24"/>
      <w:lang w:val="es-PE" w:eastAsia="es-PE"/>
    </w:rPr>
  </w:style>
  <w:style w:type="paragraph" w:customStyle="1" w:styleId="EndNoteBibliographyTitle">
    <w:name w:val="EndNote Bibliography Title"/>
    <w:basedOn w:val="Normal"/>
    <w:link w:val="EndNoteBibliographyTitleCar"/>
    <w:rsid w:val="009E4DDE"/>
    <w:pPr>
      <w:jc w:val="center"/>
    </w:pPr>
    <w:rPr>
      <w:noProof/>
    </w:rPr>
  </w:style>
  <w:style w:type="character" w:customStyle="1" w:styleId="EndNoteBibliographyTitleCar">
    <w:name w:val="EndNote Bibliography Title Car"/>
    <w:basedOn w:val="DefaultParagraphFont"/>
    <w:link w:val="EndNoteBibliographyTitle"/>
    <w:rsid w:val="009E4DDE"/>
    <w:rPr>
      <w:rFonts w:ascii="Century Gothic" w:hAnsi="Century Gothic"/>
      <w:noProof/>
      <w:sz w:val="18"/>
      <w:szCs w:val="22"/>
    </w:rPr>
  </w:style>
  <w:style w:type="paragraph" w:customStyle="1" w:styleId="EndNoteBibliography">
    <w:name w:val="EndNote Bibliography"/>
    <w:basedOn w:val="Normal"/>
    <w:link w:val="EndNoteBibliographyCar"/>
    <w:rsid w:val="009E4DDE"/>
    <w:pPr>
      <w:jc w:val="both"/>
    </w:pPr>
    <w:rPr>
      <w:noProof/>
    </w:rPr>
  </w:style>
  <w:style w:type="character" w:customStyle="1" w:styleId="EndNoteBibliographyCar">
    <w:name w:val="EndNote Bibliography Car"/>
    <w:basedOn w:val="DefaultParagraphFont"/>
    <w:link w:val="EndNoteBibliography"/>
    <w:rsid w:val="009E4DDE"/>
    <w:rPr>
      <w:rFonts w:ascii="Century Gothic" w:hAnsi="Century Gothic"/>
      <w:noProof/>
      <w:sz w:val="18"/>
      <w:szCs w:val="22"/>
    </w:rPr>
  </w:style>
  <w:style w:type="character" w:customStyle="1" w:styleId="Mencinsinresolver3">
    <w:name w:val="Mención sin resolver3"/>
    <w:basedOn w:val="DefaultParagraphFont"/>
    <w:uiPriority w:val="99"/>
    <w:semiHidden/>
    <w:unhideWhenUsed/>
    <w:rsid w:val="002F1E61"/>
    <w:rPr>
      <w:color w:val="605E5C"/>
      <w:shd w:val="clear" w:color="auto" w:fill="E1DFDD"/>
    </w:rPr>
  </w:style>
  <w:style w:type="numbering" w:customStyle="1" w:styleId="Sinlista2">
    <w:name w:val="Sin lista2"/>
    <w:next w:val="NoList"/>
    <w:uiPriority w:val="99"/>
    <w:semiHidden/>
    <w:unhideWhenUsed/>
    <w:rsid w:val="0075191A"/>
  </w:style>
  <w:style w:type="table" w:customStyle="1" w:styleId="Tablaconcuadrcula2">
    <w:name w:val="Tabla con cuadrícula2"/>
    <w:basedOn w:val="TableNormal"/>
    <w:next w:val="TableGrid"/>
    <w:uiPriority w:val="39"/>
    <w:rsid w:val="0075191A"/>
    <w:rPr>
      <w:rFonts w:ascii="Century Gothic" w:eastAsia="Meiryo" w:hAnsi="Century Gothic"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eNormal"/>
    <w:next w:val="TableProfessional"/>
    <w:uiPriority w:val="99"/>
    <w:semiHidden/>
    <w:unhideWhenUsed/>
    <w:rsid w:val="0075191A"/>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stamedia11">
    <w:name w:val="Lista media 11"/>
    <w:basedOn w:val="TableNormal"/>
    <w:next w:val="MediumList1"/>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000000"/>
        <w:bottom w:val="single" w:sz="8" w:space="0" w:color="000000"/>
      </w:tblBorders>
    </w:tblPr>
    <w:tblStylePr w:type="firstRow">
      <w:rPr>
        <w:rFonts w:ascii="Sitka Text Semibold" w:eastAsia="NSimSun" w:hAnsi="Sitka Text Semibold" w:cs="Times New Roman"/>
      </w:rPr>
      <w:tblPr/>
      <w:tcPr>
        <w:tcBorders>
          <w:top w:val="nil"/>
          <w:bottom w:val="single" w:sz="8" w:space="0" w:color="000000"/>
        </w:tcBorders>
      </w:tcPr>
    </w:tblStylePr>
    <w:tblStylePr w:type="lastRow">
      <w:rPr>
        <w:b/>
        <w:bCs/>
        <w:color w:val="775F5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1">
    <w:name w:val="Lista media 1 - Énfasis 11"/>
    <w:basedOn w:val="TableNormal"/>
    <w:next w:val="MediumList1-Accent1"/>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94B6D2"/>
        <w:bottom w:val="single" w:sz="8" w:space="0" w:color="94B6D2"/>
      </w:tblBorders>
    </w:tblPr>
    <w:tblStylePr w:type="firstRow">
      <w:rPr>
        <w:rFonts w:ascii="Sitka Text Semibold" w:eastAsia="NSimSun" w:hAnsi="Sitka Text Semibold" w:cs="Times New Roman"/>
      </w:rPr>
      <w:tblPr/>
      <w:tcPr>
        <w:tcBorders>
          <w:top w:val="nil"/>
          <w:bottom w:val="single" w:sz="8" w:space="0" w:color="94B6D2"/>
        </w:tcBorders>
      </w:tcPr>
    </w:tblStylePr>
    <w:tblStylePr w:type="lastRow">
      <w:rPr>
        <w:b/>
        <w:bCs/>
        <w:color w:val="775F55"/>
      </w:rPr>
      <w:tblPr/>
      <w:tcPr>
        <w:tcBorders>
          <w:top w:val="single" w:sz="8" w:space="0" w:color="94B6D2"/>
          <w:bottom w:val="single" w:sz="8" w:space="0" w:color="94B6D2"/>
        </w:tcBorders>
      </w:tcPr>
    </w:tblStylePr>
    <w:tblStylePr w:type="firstCol">
      <w:rPr>
        <w:b/>
        <w:bCs/>
      </w:rPr>
    </w:tblStylePr>
    <w:tblStylePr w:type="lastCol">
      <w:rPr>
        <w:b/>
        <w:bCs/>
      </w:rPr>
      <w:tblPr/>
      <w:tcPr>
        <w:tcBorders>
          <w:top w:val="single" w:sz="8" w:space="0" w:color="94B6D2"/>
          <w:bottom w:val="single" w:sz="8" w:space="0" w:color="94B6D2"/>
        </w:tcBorders>
      </w:tcPr>
    </w:tblStylePr>
    <w:tblStylePr w:type="band1Vert">
      <w:tblPr/>
      <w:tcPr>
        <w:shd w:val="clear" w:color="auto" w:fill="E4ECF4"/>
      </w:tcPr>
    </w:tblStylePr>
    <w:tblStylePr w:type="band1Horz">
      <w:tblPr/>
      <w:tcPr>
        <w:shd w:val="clear" w:color="auto" w:fill="E4ECF4"/>
      </w:tcPr>
    </w:tblStylePr>
  </w:style>
  <w:style w:type="table" w:customStyle="1" w:styleId="Listamedia1-nfasis21">
    <w:name w:val="Lista media 1 - Énfasis 21"/>
    <w:basedOn w:val="TableNormal"/>
    <w:next w:val="MediumList1-Accent2"/>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DD8047"/>
        <w:bottom w:val="single" w:sz="8" w:space="0" w:color="DD8047"/>
      </w:tblBorders>
    </w:tblPr>
    <w:tblStylePr w:type="firstRow">
      <w:rPr>
        <w:rFonts w:ascii="Sitka Text Semibold" w:eastAsia="NSimSun" w:hAnsi="Sitka Text Semibold" w:cs="Times New Roman"/>
      </w:rPr>
      <w:tblPr/>
      <w:tcPr>
        <w:tcBorders>
          <w:top w:val="nil"/>
          <w:bottom w:val="single" w:sz="8" w:space="0" w:color="DD8047"/>
        </w:tcBorders>
      </w:tcPr>
    </w:tblStylePr>
    <w:tblStylePr w:type="lastRow">
      <w:rPr>
        <w:b/>
        <w:bCs/>
        <w:color w:val="775F55"/>
      </w:rPr>
      <w:tblPr/>
      <w:tcPr>
        <w:tcBorders>
          <w:top w:val="single" w:sz="8" w:space="0" w:color="DD8047"/>
          <w:bottom w:val="single" w:sz="8" w:space="0" w:color="DD8047"/>
        </w:tcBorders>
      </w:tcPr>
    </w:tblStylePr>
    <w:tblStylePr w:type="firstCol">
      <w:rPr>
        <w:b/>
        <w:bCs/>
      </w:rPr>
    </w:tblStylePr>
    <w:tblStylePr w:type="lastCol">
      <w:rPr>
        <w:b/>
        <w:bCs/>
      </w:rPr>
      <w:tblPr/>
      <w:tcPr>
        <w:tcBorders>
          <w:top w:val="single" w:sz="8" w:space="0" w:color="DD8047"/>
          <w:bottom w:val="single" w:sz="8" w:space="0" w:color="DD8047"/>
        </w:tcBorders>
      </w:tcPr>
    </w:tblStylePr>
    <w:tblStylePr w:type="band1Vert">
      <w:tblPr/>
      <w:tcPr>
        <w:shd w:val="clear" w:color="auto" w:fill="F6DFD1"/>
      </w:tcPr>
    </w:tblStylePr>
    <w:tblStylePr w:type="band1Horz">
      <w:tblPr/>
      <w:tcPr>
        <w:shd w:val="clear" w:color="auto" w:fill="F6DFD1"/>
      </w:tcPr>
    </w:tblStylePr>
  </w:style>
  <w:style w:type="table" w:customStyle="1" w:styleId="Listamedia1-nfasis31">
    <w:name w:val="Lista media 1 - Énfasis 31"/>
    <w:basedOn w:val="TableNormal"/>
    <w:next w:val="MediumList1-Accent3"/>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A5AB81"/>
        <w:bottom w:val="single" w:sz="8" w:space="0" w:color="A5AB81"/>
      </w:tblBorders>
    </w:tblPr>
    <w:tblStylePr w:type="firstRow">
      <w:rPr>
        <w:rFonts w:ascii="Sitka Text Semibold" w:eastAsia="NSimSun" w:hAnsi="Sitka Text Semibold" w:cs="Times New Roman"/>
      </w:rPr>
      <w:tblPr/>
      <w:tcPr>
        <w:tcBorders>
          <w:top w:val="nil"/>
          <w:bottom w:val="single" w:sz="8" w:space="0" w:color="A5AB81"/>
        </w:tcBorders>
      </w:tcPr>
    </w:tblStylePr>
    <w:tblStylePr w:type="lastRow">
      <w:rPr>
        <w:b/>
        <w:bCs/>
        <w:color w:val="775F55"/>
      </w:rPr>
      <w:tblPr/>
      <w:tcPr>
        <w:tcBorders>
          <w:top w:val="single" w:sz="8" w:space="0" w:color="A5AB81"/>
          <w:bottom w:val="single" w:sz="8" w:space="0" w:color="A5AB81"/>
        </w:tcBorders>
      </w:tcPr>
    </w:tblStylePr>
    <w:tblStylePr w:type="firstCol">
      <w:rPr>
        <w:b/>
        <w:bCs/>
      </w:rPr>
    </w:tblStylePr>
    <w:tblStylePr w:type="lastCol">
      <w:rPr>
        <w:b/>
        <w:bCs/>
      </w:rPr>
      <w:tblPr/>
      <w:tcPr>
        <w:tcBorders>
          <w:top w:val="single" w:sz="8" w:space="0" w:color="A5AB81"/>
          <w:bottom w:val="single" w:sz="8" w:space="0" w:color="A5AB81"/>
        </w:tcBorders>
      </w:tcPr>
    </w:tblStylePr>
    <w:tblStylePr w:type="band1Vert">
      <w:tblPr/>
      <w:tcPr>
        <w:shd w:val="clear" w:color="auto" w:fill="E8EADF"/>
      </w:tcPr>
    </w:tblStylePr>
    <w:tblStylePr w:type="band1Horz">
      <w:tblPr/>
      <w:tcPr>
        <w:shd w:val="clear" w:color="auto" w:fill="E8EADF"/>
      </w:tcPr>
    </w:tblStylePr>
  </w:style>
  <w:style w:type="table" w:customStyle="1" w:styleId="Listamedia1-nfasis41">
    <w:name w:val="Lista media 1 - Énfasis 41"/>
    <w:basedOn w:val="TableNormal"/>
    <w:next w:val="MediumList1-Accent4"/>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D8B25C"/>
        <w:bottom w:val="single" w:sz="8" w:space="0" w:color="D8B25C"/>
      </w:tblBorders>
    </w:tblPr>
    <w:tblStylePr w:type="firstRow">
      <w:rPr>
        <w:rFonts w:ascii="Sitka Text Semibold" w:eastAsia="NSimSun" w:hAnsi="Sitka Text Semibold" w:cs="Times New Roman"/>
      </w:rPr>
      <w:tblPr/>
      <w:tcPr>
        <w:tcBorders>
          <w:top w:val="nil"/>
          <w:bottom w:val="single" w:sz="8" w:space="0" w:color="D8B25C"/>
        </w:tcBorders>
      </w:tcPr>
    </w:tblStylePr>
    <w:tblStylePr w:type="lastRow">
      <w:rPr>
        <w:b/>
        <w:bCs/>
        <w:color w:val="775F55"/>
      </w:rPr>
      <w:tblPr/>
      <w:tcPr>
        <w:tcBorders>
          <w:top w:val="single" w:sz="8" w:space="0" w:color="D8B25C"/>
          <w:bottom w:val="single" w:sz="8" w:space="0" w:color="D8B25C"/>
        </w:tcBorders>
      </w:tcPr>
    </w:tblStylePr>
    <w:tblStylePr w:type="firstCol">
      <w:rPr>
        <w:b/>
        <w:bCs/>
      </w:rPr>
    </w:tblStylePr>
    <w:tblStylePr w:type="lastCol">
      <w:rPr>
        <w:b/>
        <w:bCs/>
      </w:rPr>
      <w:tblPr/>
      <w:tcPr>
        <w:tcBorders>
          <w:top w:val="single" w:sz="8" w:space="0" w:color="D8B25C"/>
          <w:bottom w:val="single" w:sz="8" w:space="0" w:color="D8B25C"/>
        </w:tcBorders>
      </w:tcPr>
    </w:tblStylePr>
    <w:tblStylePr w:type="band1Vert">
      <w:tblPr/>
      <w:tcPr>
        <w:shd w:val="clear" w:color="auto" w:fill="F5EBD6"/>
      </w:tcPr>
    </w:tblStylePr>
    <w:tblStylePr w:type="band1Horz">
      <w:tblPr/>
      <w:tcPr>
        <w:shd w:val="clear" w:color="auto" w:fill="F5EBD6"/>
      </w:tcPr>
    </w:tblStylePr>
  </w:style>
  <w:style w:type="table" w:customStyle="1" w:styleId="Listamedia1-nfasis51">
    <w:name w:val="Lista media 1 - Énfasis 51"/>
    <w:basedOn w:val="TableNormal"/>
    <w:next w:val="MediumList1-Accent5"/>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7BA79D"/>
        <w:bottom w:val="single" w:sz="8" w:space="0" w:color="7BA79D"/>
      </w:tblBorders>
    </w:tblPr>
    <w:tblStylePr w:type="firstRow">
      <w:rPr>
        <w:rFonts w:ascii="Sitka Text Semibold" w:eastAsia="NSimSun" w:hAnsi="Sitka Text Semibold" w:cs="Times New Roman"/>
      </w:rPr>
      <w:tblPr/>
      <w:tcPr>
        <w:tcBorders>
          <w:top w:val="nil"/>
          <w:bottom w:val="single" w:sz="8" w:space="0" w:color="7BA79D"/>
        </w:tcBorders>
      </w:tcPr>
    </w:tblStylePr>
    <w:tblStylePr w:type="lastRow">
      <w:rPr>
        <w:b/>
        <w:bCs/>
        <w:color w:val="775F55"/>
      </w:rPr>
      <w:tblPr/>
      <w:tcPr>
        <w:tcBorders>
          <w:top w:val="single" w:sz="8" w:space="0" w:color="7BA79D"/>
          <w:bottom w:val="single" w:sz="8" w:space="0" w:color="7BA79D"/>
        </w:tcBorders>
      </w:tcPr>
    </w:tblStylePr>
    <w:tblStylePr w:type="firstCol">
      <w:rPr>
        <w:b/>
        <w:bCs/>
      </w:rPr>
    </w:tblStylePr>
    <w:tblStylePr w:type="lastCol">
      <w:rPr>
        <w:b/>
        <w:bCs/>
      </w:rPr>
      <w:tblPr/>
      <w:tcPr>
        <w:tcBorders>
          <w:top w:val="single" w:sz="8" w:space="0" w:color="7BA79D"/>
          <w:bottom w:val="single" w:sz="8" w:space="0" w:color="7BA79D"/>
        </w:tcBorders>
      </w:tcPr>
    </w:tblStylePr>
    <w:tblStylePr w:type="band1Vert">
      <w:tblPr/>
      <w:tcPr>
        <w:shd w:val="clear" w:color="auto" w:fill="DEE9E6"/>
      </w:tcPr>
    </w:tblStylePr>
    <w:tblStylePr w:type="band1Horz">
      <w:tblPr/>
      <w:tcPr>
        <w:shd w:val="clear" w:color="auto" w:fill="DEE9E6"/>
      </w:tcPr>
    </w:tblStylePr>
  </w:style>
  <w:style w:type="table" w:customStyle="1" w:styleId="Listamedia1-nfasis61">
    <w:name w:val="Lista media 1 - Énfasis 61"/>
    <w:basedOn w:val="TableNormal"/>
    <w:next w:val="MediumList1-Accent6"/>
    <w:uiPriority w:val="65"/>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968C8C"/>
        <w:bottom w:val="single" w:sz="8" w:space="0" w:color="968C8C"/>
      </w:tblBorders>
    </w:tblPr>
    <w:tblStylePr w:type="firstRow">
      <w:rPr>
        <w:rFonts w:ascii="Sitka Text Semibold" w:eastAsia="NSimSun" w:hAnsi="Sitka Text Semibold" w:cs="Times New Roman"/>
      </w:rPr>
      <w:tblPr/>
      <w:tcPr>
        <w:tcBorders>
          <w:top w:val="nil"/>
          <w:bottom w:val="single" w:sz="8" w:space="0" w:color="968C8C"/>
        </w:tcBorders>
      </w:tcPr>
    </w:tblStylePr>
    <w:tblStylePr w:type="lastRow">
      <w:rPr>
        <w:b/>
        <w:bCs/>
        <w:color w:val="775F55"/>
      </w:rPr>
      <w:tblPr/>
      <w:tcPr>
        <w:tcBorders>
          <w:top w:val="single" w:sz="8" w:space="0" w:color="968C8C"/>
          <w:bottom w:val="single" w:sz="8" w:space="0" w:color="968C8C"/>
        </w:tcBorders>
      </w:tcPr>
    </w:tblStylePr>
    <w:tblStylePr w:type="firstCol">
      <w:rPr>
        <w:b/>
        <w:bCs/>
      </w:rPr>
    </w:tblStylePr>
    <w:tblStylePr w:type="lastCol">
      <w:rPr>
        <w:b/>
        <w:bCs/>
      </w:rPr>
      <w:tblPr/>
      <w:tcPr>
        <w:tcBorders>
          <w:top w:val="single" w:sz="8" w:space="0" w:color="968C8C"/>
          <w:bottom w:val="single" w:sz="8" w:space="0" w:color="968C8C"/>
        </w:tcBorders>
      </w:tcPr>
    </w:tblStylePr>
    <w:tblStylePr w:type="band1Vert">
      <w:tblPr/>
      <w:tcPr>
        <w:shd w:val="clear" w:color="auto" w:fill="E5E2E2"/>
      </w:tcPr>
    </w:tblStylePr>
    <w:tblStylePr w:type="band1Horz">
      <w:tblPr/>
      <w:tcPr>
        <w:shd w:val="clear" w:color="auto" w:fill="E5E2E2"/>
      </w:tcPr>
    </w:tblStylePr>
  </w:style>
  <w:style w:type="table" w:customStyle="1" w:styleId="Listamedia21">
    <w:name w:val="Lista media 21"/>
    <w:basedOn w:val="TableNormal"/>
    <w:next w:val="MediumList2"/>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11">
    <w:name w:val="Lista media 2 - Énfasis 11"/>
    <w:basedOn w:val="TableNormal"/>
    <w:next w:val="MediumList2-Accent1"/>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rPr>
        <w:sz w:val="24"/>
        <w:szCs w:val="24"/>
      </w:rPr>
      <w:tblPr/>
      <w:tcPr>
        <w:tcBorders>
          <w:top w:val="nil"/>
          <w:left w:val="nil"/>
          <w:bottom w:val="single" w:sz="24" w:space="0" w:color="94B6D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4B6D2"/>
          <w:insideH w:val="nil"/>
          <w:insideV w:val="nil"/>
        </w:tcBorders>
        <w:shd w:val="clear" w:color="auto" w:fill="FFFFFF"/>
      </w:tcPr>
    </w:tblStylePr>
    <w:tblStylePr w:type="lastCol">
      <w:tblPr/>
      <w:tcPr>
        <w:tcBorders>
          <w:top w:val="nil"/>
          <w:left w:val="single" w:sz="8" w:space="0" w:color="94B6D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4ECF4"/>
      </w:tcPr>
    </w:tblStylePr>
    <w:tblStylePr w:type="band1Horz">
      <w:tblPr/>
      <w:tcPr>
        <w:tcBorders>
          <w:top w:val="nil"/>
          <w:bottom w:val="nil"/>
          <w:insideH w:val="nil"/>
          <w:insideV w:val="nil"/>
        </w:tcBorders>
        <w:shd w:val="clear" w:color="auto" w:fill="E4ECF4"/>
      </w:tcPr>
    </w:tblStylePr>
    <w:tblStylePr w:type="nwCell">
      <w:tblPr/>
      <w:tcPr>
        <w:shd w:val="clear" w:color="auto" w:fill="FFFFFF"/>
      </w:tcPr>
    </w:tblStylePr>
    <w:tblStylePr w:type="swCell">
      <w:tblPr/>
      <w:tcPr>
        <w:tcBorders>
          <w:top w:val="nil"/>
        </w:tcBorders>
      </w:tcPr>
    </w:tblStylePr>
  </w:style>
  <w:style w:type="table" w:customStyle="1" w:styleId="Listamedia2-nfasis21">
    <w:name w:val="Lista media 2 - Énfasis 21"/>
    <w:basedOn w:val="TableNormal"/>
    <w:next w:val="MediumList2-Accent2"/>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rPr>
        <w:sz w:val="24"/>
        <w:szCs w:val="24"/>
      </w:rPr>
      <w:tblPr/>
      <w:tcPr>
        <w:tcBorders>
          <w:top w:val="nil"/>
          <w:left w:val="nil"/>
          <w:bottom w:val="single" w:sz="24" w:space="0" w:color="DD80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D8047"/>
          <w:insideH w:val="nil"/>
          <w:insideV w:val="nil"/>
        </w:tcBorders>
        <w:shd w:val="clear" w:color="auto" w:fill="FFFFFF"/>
      </w:tcPr>
    </w:tblStylePr>
    <w:tblStylePr w:type="lastCol">
      <w:tblPr/>
      <w:tcPr>
        <w:tcBorders>
          <w:top w:val="nil"/>
          <w:left w:val="single" w:sz="8" w:space="0" w:color="DD80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6DFD1"/>
      </w:tcPr>
    </w:tblStylePr>
    <w:tblStylePr w:type="band1Horz">
      <w:tblPr/>
      <w:tcPr>
        <w:tcBorders>
          <w:top w:val="nil"/>
          <w:bottom w:val="nil"/>
          <w:insideH w:val="nil"/>
          <w:insideV w:val="nil"/>
        </w:tcBorders>
        <w:shd w:val="clear" w:color="auto" w:fill="F6DFD1"/>
      </w:tcPr>
    </w:tblStylePr>
    <w:tblStylePr w:type="nwCell">
      <w:tblPr/>
      <w:tcPr>
        <w:shd w:val="clear" w:color="auto" w:fill="FFFFFF"/>
      </w:tcPr>
    </w:tblStylePr>
    <w:tblStylePr w:type="swCell">
      <w:tblPr/>
      <w:tcPr>
        <w:tcBorders>
          <w:top w:val="nil"/>
        </w:tcBorders>
      </w:tcPr>
    </w:tblStylePr>
  </w:style>
  <w:style w:type="table" w:customStyle="1" w:styleId="Listamedia2-nfasis31">
    <w:name w:val="Lista media 2 - Énfasis 31"/>
    <w:basedOn w:val="TableNormal"/>
    <w:next w:val="MediumList2-Accent3"/>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rPr>
        <w:sz w:val="24"/>
        <w:szCs w:val="24"/>
      </w:rPr>
      <w:tblPr/>
      <w:tcPr>
        <w:tcBorders>
          <w:top w:val="nil"/>
          <w:left w:val="nil"/>
          <w:bottom w:val="single" w:sz="24" w:space="0" w:color="A5AB8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B81"/>
          <w:insideH w:val="nil"/>
          <w:insideV w:val="nil"/>
        </w:tcBorders>
        <w:shd w:val="clear" w:color="auto" w:fill="FFFFFF"/>
      </w:tcPr>
    </w:tblStylePr>
    <w:tblStylePr w:type="lastCol">
      <w:tblPr/>
      <w:tcPr>
        <w:tcBorders>
          <w:top w:val="nil"/>
          <w:left w:val="single" w:sz="8" w:space="0" w:color="A5AB8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ADF"/>
      </w:tcPr>
    </w:tblStylePr>
    <w:tblStylePr w:type="band1Horz">
      <w:tblPr/>
      <w:tcPr>
        <w:tcBorders>
          <w:top w:val="nil"/>
          <w:bottom w:val="nil"/>
          <w:insideH w:val="nil"/>
          <w:insideV w:val="nil"/>
        </w:tcBorders>
        <w:shd w:val="clear" w:color="auto" w:fill="E8EADF"/>
      </w:tcPr>
    </w:tblStylePr>
    <w:tblStylePr w:type="nwCell">
      <w:tblPr/>
      <w:tcPr>
        <w:shd w:val="clear" w:color="auto" w:fill="FFFFFF"/>
      </w:tcPr>
    </w:tblStylePr>
    <w:tblStylePr w:type="swCell">
      <w:tblPr/>
      <w:tcPr>
        <w:tcBorders>
          <w:top w:val="nil"/>
        </w:tcBorders>
      </w:tcPr>
    </w:tblStylePr>
  </w:style>
  <w:style w:type="table" w:customStyle="1" w:styleId="Listamedia2-nfasis41">
    <w:name w:val="Lista media 2 - Énfasis 41"/>
    <w:basedOn w:val="TableNormal"/>
    <w:next w:val="MediumList2-Accent4"/>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rPr>
        <w:sz w:val="24"/>
        <w:szCs w:val="24"/>
      </w:rPr>
      <w:tblPr/>
      <w:tcPr>
        <w:tcBorders>
          <w:top w:val="nil"/>
          <w:left w:val="nil"/>
          <w:bottom w:val="single" w:sz="24" w:space="0" w:color="D8B25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8B25C"/>
          <w:insideH w:val="nil"/>
          <w:insideV w:val="nil"/>
        </w:tcBorders>
        <w:shd w:val="clear" w:color="auto" w:fill="FFFFFF"/>
      </w:tcPr>
    </w:tblStylePr>
    <w:tblStylePr w:type="lastCol">
      <w:tblPr/>
      <w:tcPr>
        <w:tcBorders>
          <w:top w:val="nil"/>
          <w:left w:val="single" w:sz="8" w:space="0" w:color="D8B25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5EBD6"/>
      </w:tcPr>
    </w:tblStylePr>
    <w:tblStylePr w:type="band1Horz">
      <w:tblPr/>
      <w:tcPr>
        <w:tcBorders>
          <w:top w:val="nil"/>
          <w:bottom w:val="nil"/>
          <w:insideH w:val="nil"/>
          <w:insideV w:val="nil"/>
        </w:tcBorders>
        <w:shd w:val="clear" w:color="auto" w:fill="F5EBD6"/>
      </w:tcPr>
    </w:tblStylePr>
    <w:tblStylePr w:type="nwCell">
      <w:tblPr/>
      <w:tcPr>
        <w:shd w:val="clear" w:color="auto" w:fill="FFFFFF"/>
      </w:tcPr>
    </w:tblStylePr>
    <w:tblStylePr w:type="swCell">
      <w:tblPr/>
      <w:tcPr>
        <w:tcBorders>
          <w:top w:val="nil"/>
        </w:tcBorders>
      </w:tcPr>
    </w:tblStylePr>
  </w:style>
  <w:style w:type="table" w:customStyle="1" w:styleId="Listamedia2-nfasis51">
    <w:name w:val="Lista media 2 - Énfasis 51"/>
    <w:basedOn w:val="TableNormal"/>
    <w:next w:val="MediumList2-Accent5"/>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rPr>
        <w:sz w:val="24"/>
        <w:szCs w:val="24"/>
      </w:rPr>
      <w:tblPr/>
      <w:tcPr>
        <w:tcBorders>
          <w:top w:val="nil"/>
          <w:left w:val="nil"/>
          <w:bottom w:val="single" w:sz="24" w:space="0" w:color="7BA79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BA79D"/>
          <w:insideH w:val="nil"/>
          <w:insideV w:val="nil"/>
        </w:tcBorders>
        <w:shd w:val="clear" w:color="auto" w:fill="FFFFFF"/>
      </w:tcPr>
    </w:tblStylePr>
    <w:tblStylePr w:type="lastCol">
      <w:tblPr/>
      <w:tcPr>
        <w:tcBorders>
          <w:top w:val="nil"/>
          <w:left w:val="single" w:sz="8" w:space="0" w:color="7BA79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EE9E6"/>
      </w:tcPr>
    </w:tblStylePr>
    <w:tblStylePr w:type="band1Horz">
      <w:tblPr/>
      <w:tcPr>
        <w:tcBorders>
          <w:top w:val="nil"/>
          <w:bottom w:val="nil"/>
          <w:insideH w:val="nil"/>
          <w:insideV w:val="nil"/>
        </w:tcBorders>
        <w:shd w:val="clear" w:color="auto" w:fill="DEE9E6"/>
      </w:tcPr>
    </w:tblStylePr>
    <w:tblStylePr w:type="nwCell">
      <w:tblPr/>
      <w:tcPr>
        <w:shd w:val="clear" w:color="auto" w:fill="FFFFFF"/>
      </w:tcPr>
    </w:tblStylePr>
    <w:tblStylePr w:type="swCell">
      <w:tblPr/>
      <w:tcPr>
        <w:tcBorders>
          <w:top w:val="nil"/>
        </w:tcBorders>
      </w:tcPr>
    </w:tblStylePr>
  </w:style>
  <w:style w:type="table" w:customStyle="1" w:styleId="Listamedia2-nfasis61">
    <w:name w:val="Lista media 2 - Énfasis 61"/>
    <w:basedOn w:val="TableNormal"/>
    <w:next w:val="MediumList2-Accent6"/>
    <w:uiPriority w:val="66"/>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rPr>
        <w:sz w:val="24"/>
        <w:szCs w:val="24"/>
      </w:rPr>
      <w:tblPr/>
      <w:tcPr>
        <w:tcBorders>
          <w:top w:val="nil"/>
          <w:left w:val="nil"/>
          <w:bottom w:val="single" w:sz="24" w:space="0" w:color="968C8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68C8C"/>
          <w:insideH w:val="nil"/>
          <w:insideV w:val="nil"/>
        </w:tcBorders>
        <w:shd w:val="clear" w:color="auto" w:fill="FFFFFF"/>
      </w:tcPr>
    </w:tblStylePr>
    <w:tblStylePr w:type="lastCol">
      <w:tblPr/>
      <w:tcPr>
        <w:tcBorders>
          <w:top w:val="nil"/>
          <w:left w:val="single" w:sz="8" w:space="0" w:color="968C8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5E2E2"/>
      </w:tcPr>
    </w:tblStylePr>
    <w:tblStylePr w:type="band1Horz">
      <w:tblPr/>
      <w:tcPr>
        <w:tcBorders>
          <w:top w:val="nil"/>
          <w:bottom w:val="nil"/>
          <w:insideH w:val="nil"/>
          <w:insideV w:val="nil"/>
        </w:tcBorders>
        <w:shd w:val="clear" w:color="auto" w:fill="E5E2E2"/>
      </w:tcPr>
    </w:tblStylePr>
    <w:tblStylePr w:type="nwCell">
      <w:tblPr/>
      <w:tcPr>
        <w:shd w:val="clear" w:color="auto" w:fill="FFFFFF"/>
      </w:tcPr>
    </w:tblStylePr>
    <w:tblStylePr w:type="swCell">
      <w:tblPr/>
      <w:tcPr>
        <w:tcBorders>
          <w:top w:val="nil"/>
        </w:tcBorders>
      </w:tcPr>
    </w:tblStylePr>
  </w:style>
  <w:style w:type="table" w:customStyle="1" w:styleId="Sombreadomedio11">
    <w:name w:val="Sombreado medio 11"/>
    <w:basedOn w:val="TableNormal"/>
    <w:next w:val="MediumShading1"/>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11">
    <w:name w:val="Sombreado medio 1 - Énfasis 11"/>
    <w:basedOn w:val="TableNormal"/>
    <w:next w:val="MediumShading1-Accent1"/>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tblBorders>
    </w:tblPr>
    <w:tblStylePr w:type="firstRow">
      <w:pPr>
        <w:spacing w:before="0" w:after="0" w:line="240" w:lineRule="auto"/>
      </w:pPr>
      <w:rPr>
        <w:b/>
        <w:bCs/>
        <w:color w:val="FFFFFF"/>
      </w:rPr>
      <w:tblPr/>
      <w:tcPr>
        <w:tcBorders>
          <w:top w:val="single" w:sz="8" w:space="0" w:color="AEC8DD"/>
          <w:left w:val="single" w:sz="8" w:space="0" w:color="AEC8DD"/>
          <w:bottom w:val="single" w:sz="8" w:space="0" w:color="AEC8DD"/>
          <w:right w:val="single" w:sz="8" w:space="0" w:color="AEC8DD"/>
          <w:insideH w:val="nil"/>
          <w:insideV w:val="nil"/>
        </w:tcBorders>
        <w:shd w:val="clear" w:color="auto" w:fill="94B6D2"/>
      </w:tcPr>
    </w:tblStylePr>
    <w:tblStylePr w:type="lastRow">
      <w:pPr>
        <w:spacing w:before="0" w:after="0" w:line="240" w:lineRule="auto"/>
      </w:pPr>
      <w:rPr>
        <w:b/>
        <w:bCs/>
      </w:rPr>
      <w:tblPr/>
      <w:tcPr>
        <w:tcBorders>
          <w:top w:val="double" w:sz="6" w:space="0" w:color="AEC8DD"/>
          <w:left w:val="single" w:sz="8" w:space="0" w:color="AEC8DD"/>
          <w:bottom w:val="single" w:sz="8" w:space="0" w:color="AEC8DD"/>
          <w:right w:val="single" w:sz="8" w:space="0" w:color="AEC8DD"/>
          <w:insideH w:val="nil"/>
          <w:insideV w:val="nil"/>
        </w:tcBorders>
      </w:tcPr>
    </w:tblStylePr>
    <w:tblStylePr w:type="firstCol">
      <w:rPr>
        <w:b/>
        <w:bCs/>
      </w:rPr>
    </w:tblStylePr>
    <w:tblStylePr w:type="lastCol">
      <w:rPr>
        <w:b/>
        <w:bCs/>
      </w:rPr>
    </w:tblStylePr>
    <w:tblStylePr w:type="band1Vert">
      <w:tblPr/>
      <w:tcPr>
        <w:shd w:val="clear" w:color="auto" w:fill="E4ECF4"/>
      </w:tcPr>
    </w:tblStylePr>
    <w:tblStylePr w:type="band1Horz">
      <w:tblPr/>
      <w:tcPr>
        <w:tcBorders>
          <w:insideH w:val="nil"/>
          <w:insideV w:val="nil"/>
        </w:tcBorders>
        <w:shd w:val="clear" w:color="auto" w:fill="E4ECF4"/>
      </w:tcPr>
    </w:tblStylePr>
    <w:tblStylePr w:type="band2Horz">
      <w:tblPr/>
      <w:tcPr>
        <w:tcBorders>
          <w:insideH w:val="nil"/>
          <w:insideV w:val="nil"/>
        </w:tcBorders>
      </w:tcPr>
    </w:tblStylePr>
  </w:style>
  <w:style w:type="table" w:customStyle="1" w:styleId="Sombreadomedio1-nfasis21">
    <w:name w:val="Sombreado medio 1 - Énfasis 21"/>
    <w:basedOn w:val="TableNormal"/>
    <w:next w:val="MediumShading1-Accent2"/>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tblBorders>
    </w:tblPr>
    <w:tblStylePr w:type="firstRow">
      <w:pPr>
        <w:spacing w:before="0" w:after="0" w:line="240" w:lineRule="auto"/>
      </w:pPr>
      <w:rPr>
        <w:b/>
        <w:bCs/>
        <w:color w:val="FFFFFF"/>
      </w:rPr>
      <w:tblPr/>
      <w:tcPr>
        <w:tcBorders>
          <w:top w:val="single" w:sz="8" w:space="0" w:color="E59F75"/>
          <w:left w:val="single" w:sz="8" w:space="0" w:color="E59F75"/>
          <w:bottom w:val="single" w:sz="8" w:space="0" w:color="E59F75"/>
          <w:right w:val="single" w:sz="8" w:space="0" w:color="E59F75"/>
          <w:insideH w:val="nil"/>
          <w:insideV w:val="nil"/>
        </w:tcBorders>
        <w:shd w:val="clear" w:color="auto" w:fill="DD8047"/>
      </w:tcPr>
    </w:tblStylePr>
    <w:tblStylePr w:type="lastRow">
      <w:pPr>
        <w:spacing w:before="0" w:after="0" w:line="240" w:lineRule="auto"/>
      </w:pPr>
      <w:rPr>
        <w:b/>
        <w:bCs/>
      </w:rPr>
      <w:tblPr/>
      <w:tcPr>
        <w:tcBorders>
          <w:top w:val="double" w:sz="6" w:space="0" w:color="E59F75"/>
          <w:left w:val="single" w:sz="8" w:space="0" w:color="E59F75"/>
          <w:bottom w:val="single" w:sz="8" w:space="0" w:color="E59F75"/>
          <w:right w:val="single" w:sz="8" w:space="0" w:color="E59F75"/>
          <w:insideH w:val="nil"/>
          <w:insideV w:val="nil"/>
        </w:tcBorders>
      </w:tcPr>
    </w:tblStylePr>
    <w:tblStylePr w:type="firstCol">
      <w:rPr>
        <w:b/>
        <w:bCs/>
      </w:rPr>
    </w:tblStylePr>
    <w:tblStylePr w:type="lastCol">
      <w:rPr>
        <w:b/>
        <w:bCs/>
      </w:rPr>
    </w:tblStylePr>
    <w:tblStylePr w:type="band1Vert">
      <w:tblPr/>
      <w:tcPr>
        <w:shd w:val="clear" w:color="auto" w:fill="F6DFD1"/>
      </w:tcPr>
    </w:tblStylePr>
    <w:tblStylePr w:type="band1Horz">
      <w:tblPr/>
      <w:tcPr>
        <w:tcBorders>
          <w:insideH w:val="nil"/>
          <w:insideV w:val="nil"/>
        </w:tcBorders>
        <w:shd w:val="clear" w:color="auto" w:fill="F6DFD1"/>
      </w:tcPr>
    </w:tblStylePr>
    <w:tblStylePr w:type="band2Horz">
      <w:tblPr/>
      <w:tcPr>
        <w:tcBorders>
          <w:insideH w:val="nil"/>
          <w:insideV w:val="nil"/>
        </w:tcBorders>
      </w:tcPr>
    </w:tblStylePr>
  </w:style>
  <w:style w:type="table" w:customStyle="1" w:styleId="Sombreadomedio1-nfasis31">
    <w:name w:val="Sombreado medio 1 - Énfasis 31"/>
    <w:basedOn w:val="TableNormal"/>
    <w:next w:val="MediumShading1-Accent3"/>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tblBorders>
    </w:tblPr>
    <w:tblStylePr w:type="firstRow">
      <w:pPr>
        <w:spacing w:before="0" w:after="0" w:line="240" w:lineRule="auto"/>
      </w:pPr>
      <w:rPr>
        <w:b/>
        <w:bCs/>
        <w:color w:val="FFFFFF"/>
      </w:rPr>
      <w:tblPr/>
      <w:tcPr>
        <w:tcBorders>
          <w:top w:val="single" w:sz="8" w:space="0" w:color="BBC0A0"/>
          <w:left w:val="single" w:sz="8" w:space="0" w:color="BBC0A0"/>
          <w:bottom w:val="single" w:sz="8" w:space="0" w:color="BBC0A0"/>
          <w:right w:val="single" w:sz="8" w:space="0" w:color="BBC0A0"/>
          <w:insideH w:val="nil"/>
          <w:insideV w:val="nil"/>
        </w:tcBorders>
        <w:shd w:val="clear" w:color="auto" w:fill="A5AB81"/>
      </w:tcPr>
    </w:tblStylePr>
    <w:tblStylePr w:type="lastRow">
      <w:pPr>
        <w:spacing w:before="0" w:after="0" w:line="240" w:lineRule="auto"/>
      </w:pPr>
      <w:rPr>
        <w:b/>
        <w:bCs/>
      </w:rPr>
      <w:tblPr/>
      <w:tcPr>
        <w:tcBorders>
          <w:top w:val="double" w:sz="6" w:space="0" w:color="BBC0A0"/>
          <w:left w:val="single" w:sz="8" w:space="0" w:color="BBC0A0"/>
          <w:bottom w:val="single" w:sz="8" w:space="0" w:color="BBC0A0"/>
          <w:right w:val="single" w:sz="8" w:space="0" w:color="BBC0A0"/>
          <w:insideH w:val="nil"/>
          <w:insideV w:val="nil"/>
        </w:tcBorders>
      </w:tcPr>
    </w:tblStylePr>
    <w:tblStylePr w:type="firstCol">
      <w:rPr>
        <w:b/>
        <w:bCs/>
      </w:rPr>
    </w:tblStylePr>
    <w:tblStylePr w:type="lastCol">
      <w:rPr>
        <w:b/>
        <w:bCs/>
      </w:rPr>
    </w:tblStylePr>
    <w:tblStylePr w:type="band1Vert">
      <w:tblPr/>
      <w:tcPr>
        <w:shd w:val="clear" w:color="auto" w:fill="E8EADF"/>
      </w:tcPr>
    </w:tblStylePr>
    <w:tblStylePr w:type="band1Horz">
      <w:tblPr/>
      <w:tcPr>
        <w:tcBorders>
          <w:insideH w:val="nil"/>
          <w:insideV w:val="nil"/>
        </w:tcBorders>
        <w:shd w:val="clear" w:color="auto" w:fill="E8EADF"/>
      </w:tcPr>
    </w:tblStylePr>
    <w:tblStylePr w:type="band2Horz">
      <w:tblPr/>
      <w:tcPr>
        <w:tcBorders>
          <w:insideH w:val="nil"/>
          <w:insideV w:val="nil"/>
        </w:tcBorders>
      </w:tcPr>
    </w:tblStylePr>
  </w:style>
  <w:style w:type="table" w:customStyle="1" w:styleId="Sombreadomedio1-nfasis41">
    <w:name w:val="Sombreado medio 1 - Énfasis 41"/>
    <w:basedOn w:val="TableNormal"/>
    <w:next w:val="MediumShading1-Accent4"/>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tblBorders>
    </w:tblPr>
    <w:tblStylePr w:type="firstRow">
      <w:pPr>
        <w:spacing w:before="0" w:after="0" w:line="240" w:lineRule="auto"/>
      </w:pPr>
      <w:rPr>
        <w:b/>
        <w:bCs/>
        <w:color w:val="FFFFFF"/>
      </w:rPr>
      <w:tblPr/>
      <w:tcPr>
        <w:tcBorders>
          <w:top w:val="single" w:sz="8" w:space="0" w:color="E1C584"/>
          <w:left w:val="single" w:sz="8" w:space="0" w:color="E1C584"/>
          <w:bottom w:val="single" w:sz="8" w:space="0" w:color="E1C584"/>
          <w:right w:val="single" w:sz="8" w:space="0" w:color="E1C584"/>
          <w:insideH w:val="nil"/>
          <w:insideV w:val="nil"/>
        </w:tcBorders>
        <w:shd w:val="clear" w:color="auto" w:fill="D8B25C"/>
      </w:tcPr>
    </w:tblStylePr>
    <w:tblStylePr w:type="lastRow">
      <w:pPr>
        <w:spacing w:before="0" w:after="0" w:line="240" w:lineRule="auto"/>
      </w:pPr>
      <w:rPr>
        <w:b/>
        <w:bCs/>
      </w:rPr>
      <w:tblPr/>
      <w:tcPr>
        <w:tcBorders>
          <w:top w:val="double" w:sz="6" w:space="0" w:color="E1C584"/>
          <w:left w:val="single" w:sz="8" w:space="0" w:color="E1C584"/>
          <w:bottom w:val="single" w:sz="8" w:space="0" w:color="E1C584"/>
          <w:right w:val="single" w:sz="8" w:space="0" w:color="E1C584"/>
          <w:insideH w:val="nil"/>
          <w:insideV w:val="nil"/>
        </w:tcBorders>
      </w:tcPr>
    </w:tblStylePr>
    <w:tblStylePr w:type="firstCol">
      <w:rPr>
        <w:b/>
        <w:bCs/>
      </w:rPr>
    </w:tblStylePr>
    <w:tblStylePr w:type="lastCol">
      <w:rPr>
        <w:b/>
        <w:bCs/>
      </w:rPr>
    </w:tblStylePr>
    <w:tblStylePr w:type="band1Vert">
      <w:tblPr/>
      <w:tcPr>
        <w:shd w:val="clear" w:color="auto" w:fill="F5EBD6"/>
      </w:tcPr>
    </w:tblStylePr>
    <w:tblStylePr w:type="band1Horz">
      <w:tblPr/>
      <w:tcPr>
        <w:tcBorders>
          <w:insideH w:val="nil"/>
          <w:insideV w:val="nil"/>
        </w:tcBorders>
        <w:shd w:val="clear" w:color="auto" w:fill="F5EBD6"/>
      </w:tcPr>
    </w:tblStylePr>
    <w:tblStylePr w:type="band2Horz">
      <w:tblPr/>
      <w:tcPr>
        <w:tcBorders>
          <w:insideH w:val="nil"/>
          <w:insideV w:val="nil"/>
        </w:tcBorders>
      </w:tcPr>
    </w:tblStylePr>
  </w:style>
  <w:style w:type="table" w:customStyle="1" w:styleId="Sombreadomedio1-nfasis51">
    <w:name w:val="Sombreado medio 1 - Énfasis 51"/>
    <w:basedOn w:val="TableNormal"/>
    <w:next w:val="MediumShading1-Accent5"/>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tblBorders>
    </w:tblPr>
    <w:tblStylePr w:type="firstRow">
      <w:pPr>
        <w:spacing w:before="0" w:after="0" w:line="240" w:lineRule="auto"/>
      </w:pPr>
      <w:rPr>
        <w:b/>
        <w:bCs/>
        <w:color w:val="FFFFFF"/>
      </w:rPr>
      <w:tblPr/>
      <w:tcPr>
        <w:tcBorders>
          <w:top w:val="single" w:sz="8" w:space="0" w:color="9CBDB5"/>
          <w:left w:val="single" w:sz="8" w:space="0" w:color="9CBDB5"/>
          <w:bottom w:val="single" w:sz="8" w:space="0" w:color="9CBDB5"/>
          <w:right w:val="single" w:sz="8" w:space="0" w:color="9CBDB5"/>
          <w:insideH w:val="nil"/>
          <w:insideV w:val="nil"/>
        </w:tcBorders>
        <w:shd w:val="clear" w:color="auto" w:fill="7BA79D"/>
      </w:tcPr>
    </w:tblStylePr>
    <w:tblStylePr w:type="lastRow">
      <w:pPr>
        <w:spacing w:before="0" w:after="0" w:line="240" w:lineRule="auto"/>
      </w:pPr>
      <w:rPr>
        <w:b/>
        <w:bCs/>
      </w:rPr>
      <w:tblPr/>
      <w:tcPr>
        <w:tcBorders>
          <w:top w:val="double" w:sz="6" w:space="0" w:color="9CBDB5"/>
          <w:left w:val="single" w:sz="8" w:space="0" w:color="9CBDB5"/>
          <w:bottom w:val="single" w:sz="8" w:space="0" w:color="9CBDB5"/>
          <w:right w:val="single" w:sz="8" w:space="0" w:color="9CBDB5"/>
          <w:insideH w:val="nil"/>
          <w:insideV w:val="nil"/>
        </w:tcBorders>
      </w:tcPr>
    </w:tblStylePr>
    <w:tblStylePr w:type="firstCol">
      <w:rPr>
        <w:b/>
        <w:bCs/>
      </w:rPr>
    </w:tblStylePr>
    <w:tblStylePr w:type="lastCol">
      <w:rPr>
        <w:b/>
        <w:bCs/>
      </w:rPr>
    </w:tblStylePr>
    <w:tblStylePr w:type="band1Vert">
      <w:tblPr/>
      <w:tcPr>
        <w:shd w:val="clear" w:color="auto" w:fill="DEE9E6"/>
      </w:tcPr>
    </w:tblStylePr>
    <w:tblStylePr w:type="band1Horz">
      <w:tblPr/>
      <w:tcPr>
        <w:tcBorders>
          <w:insideH w:val="nil"/>
          <w:insideV w:val="nil"/>
        </w:tcBorders>
        <w:shd w:val="clear" w:color="auto" w:fill="DEE9E6"/>
      </w:tcPr>
    </w:tblStylePr>
    <w:tblStylePr w:type="band2Horz">
      <w:tblPr/>
      <w:tcPr>
        <w:tcBorders>
          <w:insideH w:val="nil"/>
          <w:insideV w:val="nil"/>
        </w:tcBorders>
      </w:tcPr>
    </w:tblStylePr>
  </w:style>
  <w:style w:type="table" w:customStyle="1" w:styleId="Sombreadomedio1-nfasis61">
    <w:name w:val="Sombreado medio 1 - Énfasis 61"/>
    <w:basedOn w:val="TableNormal"/>
    <w:next w:val="MediumShading1-Accent6"/>
    <w:uiPriority w:val="63"/>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tblBorders>
    </w:tblPr>
    <w:tblStylePr w:type="firstRow">
      <w:pPr>
        <w:spacing w:before="0" w:after="0" w:line="240" w:lineRule="auto"/>
      </w:pPr>
      <w:rPr>
        <w:b/>
        <w:bCs/>
        <w:color w:val="FFFFFF"/>
      </w:rPr>
      <w:tblPr/>
      <w:tcPr>
        <w:tcBorders>
          <w:top w:val="single" w:sz="8" w:space="0" w:color="B0A8A8"/>
          <w:left w:val="single" w:sz="8" w:space="0" w:color="B0A8A8"/>
          <w:bottom w:val="single" w:sz="8" w:space="0" w:color="B0A8A8"/>
          <w:right w:val="single" w:sz="8" w:space="0" w:color="B0A8A8"/>
          <w:insideH w:val="nil"/>
          <w:insideV w:val="nil"/>
        </w:tcBorders>
        <w:shd w:val="clear" w:color="auto" w:fill="968C8C"/>
      </w:tcPr>
    </w:tblStylePr>
    <w:tblStylePr w:type="lastRow">
      <w:pPr>
        <w:spacing w:before="0" w:after="0" w:line="240" w:lineRule="auto"/>
      </w:pPr>
      <w:rPr>
        <w:b/>
        <w:bCs/>
      </w:rPr>
      <w:tblPr/>
      <w:tcPr>
        <w:tcBorders>
          <w:top w:val="double" w:sz="6" w:space="0" w:color="B0A8A8"/>
          <w:left w:val="single" w:sz="8" w:space="0" w:color="B0A8A8"/>
          <w:bottom w:val="single" w:sz="8" w:space="0" w:color="B0A8A8"/>
          <w:right w:val="single" w:sz="8" w:space="0" w:color="B0A8A8"/>
          <w:insideH w:val="nil"/>
          <w:insideV w:val="nil"/>
        </w:tcBorders>
      </w:tcPr>
    </w:tblStylePr>
    <w:tblStylePr w:type="firstCol">
      <w:rPr>
        <w:b/>
        <w:bCs/>
      </w:rPr>
    </w:tblStylePr>
    <w:tblStylePr w:type="lastCol">
      <w:rPr>
        <w:b/>
        <w:bCs/>
      </w:rPr>
    </w:tblStylePr>
    <w:tblStylePr w:type="band1Vert">
      <w:tblPr/>
      <w:tcPr>
        <w:shd w:val="clear" w:color="auto" w:fill="E5E2E2"/>
      </w:tcPr>
    </w:tblStylePr>
    <w:tblStylePr w:type="band1Horz">
      <w:tblPr/>
      <w:tcPr>
        <w:tcBorders>
          <w:insideH w:val="nil"/>
          <w:insideV w:val="nil"/>
        </w:tcBorders>
        <w:shd w:val="clear" w:color="auto" w:fill="E5E2E2"/>
      </w:tcPr>
    </w:tblStylePr>
    <w:tblStylePr w:type="band2Horz">
      <w:tblPr/>
      <w:tcPr>
        <w:tcBorders>
          <w:insideH w:val="nil"/>
          <w:insideV w:val="nil"/>
        </w:tcBorders>
      </w:tcPr>
    </w:tblStylePr>
  </w:style>
  <w:style w:type="table" w:customStyle="1" w:styleId="Sombreadomedio21">
    <w:name w:val="Sombreado medio 21"/>
    <w:basedOn w:val="TableNormal"/>
    <w:next w:val="MediumShading2"/>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11">
    <w:name w:val="Sombreado medio 2 - Énfasis 11"/>
    <w:basedOn w:val="TableNormal"/>
    <w:next w:val="MediumShading2-Accent1"/>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4B6D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4B6D2"/>
      </w:tcPr>
    </w:tblStylePr>
    <w:tblStylePr w:type="lastCol">
      <w:rPr>
        <w:b/>
        <w:bCs/>
        <w:color w:val="FFFFFF"/>
      </w:rPr>
      <w:tblPr/>
      <w:tcPr>
        <w:tcBorders>
          <w:left w:val="nil"/>
          <w:right w:val="nil"/>
          <w:insideH w:val="nil"/>
          <w:insideV w:val="nil"/>
        </w:tcBorders>
        <w:shd w:val="clear" w:color="auto" w:fill="94B6D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21">
    <w:name w:val="Sombreado medio 2 - Énfasis 21"/>
    <w:basedOn w:val="TableNormal"/>
    <w:next w:val="MediumShading2-Accent2"/>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D80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D8047"/>
      </w:tcPr>
    </w:tblStylePr>
    <w:tblStylePr w:type="lastCol">
      <w:rPr>
        <w:b/>
        <w:bCs/>
        <w:color w:val="FFFFFF"/>
      </w:rPr>
      <w:tblPr/>
      <w:tcPr>
        <w:tcBorders>
          <w:left w:val="nil"/>
          <w:right w:val="nil"/>
          <w:insideH w:val="nil"/>
          <w:insideV w:val="nil"/>
        </w:tcBorders>
        <w:shd w:val="clear" w:color="auto" w:fill="DD80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31">
    <w:name w:val="Sombreado medio 2 - Énfasis 31"/>
    <w:basedOn w:val="TableNormal"/>
    <w:next w:val="MediumShading2-Accent3"/>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B8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B81"/>
      </w:tcPr>
    </w:tblStylePr>
    <w:tblStylePr w:type="lastCol">
      <w:rPr>
        <w:b/>
        <w:bCs/>
        <w:color w:val="FFFFFF"/>
      </w:rPr>
      <w:tblPr/>
      <w:tcPr>
        <w:tcBorders>
          <w:left w:val="nil"/>
          <w:right w:val="nil"/>
          <w:insideH w:val="nil"/>
          <w:insideV w:val="nil"/>
        </w:tcBorders>
        <w:shd w:val="clear" w:color="auto" w:fill="A5AB8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41">
    <w:name w:val="Sombreado medio 2 - Énfasis 41"/>
    <w:basedOn w:val="TableNormal"/>
    <w:next w:val="MediumShading2-Accent4"/>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8B25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8B25C"/>
      </w:tcPr>
    </w:tblStylePr>
    <w:tblStylePr w:type="lastCol">
      <w:rPr>
        <w:b/>
        <w:bCs/>
        <w:color w:val="FFFFFF"/>
      </w:rPr>
      <w:tblPr/>
      <w:tcPr>
        <w:tcBorders>
          <w:left w:val="nil"/>
          <w:right w:val="nil"/>
          <w:insideH w:val="nil"/>
          <w:insideV w:val="nil"/>
        </w:tcBorders>
        <w:shd w:val="clear" w:color="auto" w:fill="D8B25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51">
    <w:name w:val="Sombreado medio 2 - Énfasis 51"/>
    <w:basedOn w:val="TableNormal"/>
    <w:next w:val="MediumShading2-Accent5"/>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BA79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BA79D"/>
      </w:tcPr>
    </w:tblStylePr>
    <w:tblStylePr w:type="lastCol">
      <w:rPr>
        <w:b/>
        <w:bCs/>
        <w:color w:val="FFFFFF"/>
      </w:rPr>
      <w:tblPr/>
      <w:tcPr>
        <w:tcBorders>
          <w:left w:val="nil"/>
          <w:right w:val="nil"/>
          <w:insideH w:val="nil"/>
          <w:insideV w:val="nil"/>
        </w:tcBorders>
        <w:shd w:val="clear" w:color="auto" w:fill="7BA79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61">
    <w:name w:val="Sombreado medio 2 - Énfasis 61"/>
    <w:basedOn w:val="TableNormal"/>
    <w:next w:val="MediumShading2-Accent6"/>
    <w:uiPriority w:val="64"/>
    <w:semiHidden/>
    <w:unhideWhenUsed/>
    <w:rsid w:val="0075191A"/>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68C8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68C8C"/>
      </w:tcPr>
    </w:tblStylePr>
    <w:tblStylePr w:type="lastCol">
      <w:rPr>
        <w:b/>
        <w:bCs/>
        <w:color w:val="FFFFFF"/>
      </w:rPr>
      <w:tblPr/>
      <w:tcPr>
        <w:tcBorders>
          <w:left w:val="nil"/>
          <w:right w:val="nil"/>
          <w:insideH w:val="nil"/>
          <w:insideV w:val="nil"/>
        </w:tcBorders>
        <w:shd w:val="clear" w:color="auto" w:fill="968C8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uadrculamedia11">
    <w:name w:val="Cuadrícula media 11"/>
    <w:basedOn w:val="TableNormal"/>
    <w:next w:val="MediumGrid1"/>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uadrculamedia1-nfasis11">
    <w:name w:val="Cuadrícula media 1 - Énfasis 11"/>
    <w:basedOn w:val="TableNormal"/>
    <w:next w:val="MediumGrid1-Accent1"/>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insideV w:val="single" w:sz="8" w:space="0" w:color="AEC8DD"/>
      </w:tblBorders>
    </w:tblPr>
    <w:tcPr>
      <w:shd w:val="clear" w:color="auto" w:fill="E4ECF4"/>
    </w:tcPr>
    <w:tblStylePr w:type="firstRow">
      <w:rPr>
        <w:b/>
        <w:bCs/>
      </w:rPr>
    </w:tblStylePr>
    <w:tblStylePr w:type="lastRow">
      <w:rPr>
        <w:b/>
        <w:bCs/>
      </w:rPr>
      <w:tblPr/>
      <w:tcPr>
        <w:tcBorders>
          <w:top w:val="single" w:sz="18" w:space="0" w:color="AEC8DD"/>
        </w:tcBorders>
      </w:tcPr>
    </w:tblStylePr>
    <w:tblStylePr w:type="firstCol">
      <w:rPr>
        <w:b/>
        <w:bCs/>
      </w:rPr>
    </w:tblStylePr>
    <w:tblStylePr w:type="lastCol">
      <w:rPr>
        <w:b/>
        <w:bCs/>
      </w:rPr>
    </w:tblStylePr>
    <w:tblStylePr w:type="band1Vert">
      <w:tblPr/>
      <w:tcPr>
        <w:shd w:val="clear" w:color="auto" w:fill="C9DAE8"/>
      </w:tcPr>
    </w:tblStylePr>
    <w:tblStylePr w:type="band1Horz">
      <w:tblPr/>
      <w:tcPr>
        <w:shd w:val="clear" w:color="auto" w:fill="C9DAE8"/>
      </w:tcPr>
    </w:tblStylePr>
  </w:style>
  <w:style w:type="table" w:customStyle="1" w:styleId="Cuadrculamedia1-nfasis21">
    <w:name w:val="Cuadrícula media 1 - Énfasis 21"/>
    <w:basedOn w:val="TableNormal"/>
    <w:next w:val="MediumGrid1-Accent2"/>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insideV w:val="single" w:sz="8" w:space="0" w:color="E59F75"/>
      </w:tblBorders>
    </w:tblPr>
    <w:tcPr>
      <w:shd w:val="clear" w:color="auto" w:fill="F6DFD1"/>
    </w:tcPr>
    <w:tblStylePr w:type="firstRow">
      <w:rPr>
        <w:b/>
        <w:bCs/>
      </w:rPr>
    </w:tblStylePr>
    <w:tblStylePr w:type="lastRow">
      <w:rPr>
        <w:b/>
        <w:bCs/>
      </w:rPr>
      <w:tblPr/>
      <w:tcPr>
        <w:tcBorders>
          <w:top w:val="single" w:sz="18" w:space="0" w:color="E59F75"/>
        </w:tcBorders>
      </w:tcPr>
    </w:tblStylePr>
    <w:tblStylePr w:type="firstCol">
      <w:rPr>
        <w:b/>
        <w:bCs/>
      </w:rPr>
    </w:tblStylePr>
    <w:tblStylePr w:type="lastCol">
      <w:rPr>
        <w:b/>
        <w:bCs/>
      </w:rPr>
    </w:tblStylePr>
    <w:tblStylePr w:type="band1Vert">
      <w:tblPr/>
      <w:tcPr>
        <w:shd w:val="clear" w:color="auto" w:fill="EEBFA3"/>
      </w:tcPr>
    </w:tblStylePr>
    <w:tblStylePr w:type="band1Horz">
      <w:tblPr/>
      <w:tcPr>
        <w:shd w:val="clear" w:color="auto" w:fill="EEBFA3"/>
      </w:tcPr>
    </w:tblStylePr>
  </w:style>
  <w:style w:type="table" w:customStyle="1" w:styleId="Cuadrculamedia1-nfasis31">
    <w:name w:val="Cuadrícula media 1 - Énfasis 31"/>
    <w:basedOn w:val="TableNormal"/>
    <w:next w:val="MediumGrid1-Accent3"/>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insideV w:val="single" w:sz="8" w:space="0" w:color="BBC0A0"/>
      </w:tblBorders>
    </w:tblPr>
    <w:tcPr>
      <w:shd w:val="clear" w:color="auto" w:fill="E8EADF"/>
    </w:tcPr>
    <w:tblStylePr w:type="firstRow">
      <w:rPr>
        <w:b/>
        <w:bCs/>
      </w:rPr>
    </w:tblStylePr>
    <w:tblStylePr w:type="lastRow">
      <w:rPr>
        <w:b/>
        <w:bCs/>
      </w:rPr>
      <w:tblPr/>
      <w:tcPr>
        <w:tcBorders>
          <w:top w:val="single" w:sz="18" w:space="0" w:color="BBC0A0"/>
        </w:tcBorders>
      </w:tcPr>
    </w:tblStylePr>
    <w:tblStylePr w:type="firstCol">
      <w:rPr>
        <w:b/>
        <w:bCs/>
      </w:rPr>
    </w:tblStylePr>
    <w:tblStylePr w:type="lastCol">
      <w:rPr>
        <w:b/>
        <w:bCs/>
      </w:rPr>
    </w:tblStylePr>
    <w:tblStylePr w:type="band1Vert">
      <w:tblPr/>
      <w:tcPr>
        <w:shd w:val="clear" w:color="auto" w:fill="D2D5C0"/>
      </w:tcPr>
    </w:tblStylePr>
    <w:tblStylePr w:type="band1Horz">
      <w:tblPr/>
      <w:tcPr>
        <w:shd w:val="clear" w:color="auto" w:fill="D2D5C0"/>
      </w:tcPr>
    </w:tblStylePr>
  </w:style>
  <w:style w:type="table" w:customStyle="1" w:styleId="Cuadrculamedia1-nfasis41">
    <w:name w:val="Cuadrícula media 1 - Énfasis 41"/>
    <w:basedOn w:val="TableNormal"/>
    <w:next w:val="MediumGrid1-Accent4"/>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insideV w:val="single" w:sz="8" w:space="0" w:color="E1C584"/>
      </w:tblBorders>
    </w:tblPr>
    <w:tcPr>
      <w:shd w:val="clear" w:color="auto" w:fill="F5EBD6"/>
    </w:tcPr>
    <w:tblStylePr w:type="firstRow">
      <w:rPr>
        <w:b/>
        <w:bCs/>
      </w:rPr>
    </w:tblStylePr>
    <w:tblStylePr w:type="lastRow">
      <w:rPr>
        <w:b/>
        <w:bCs/>
      </w:rPr>
      <w:tblPr/>
      <w:tcPr>
        <w:tcBorders>
          <w:top w:val="single" w:sz="18" w:space="0" w:color="E1C584"/>
        </w:tcBorders>
      </w:tcPr>
    </w:tblStylePr>
    <w:tblStylePr w:type="firstCol">
      <w:rPr>
        <w:b/>
        <w:bCs/>
      </w:rPr>
    </w:tblStylePr>
    <w:tblStylePr w:type="lastCol">
      <w:rPr>
        <w:b/>
        <w:bCs/>
      </w:rPr>
    </w:tblStylePr>
    <w:tblStylePr w:type="band1Vert">
      <w:tblPr/>
      <w:tcPr>
        <w:shd w:val="clear" w:color="auto" w:fill="EBD8AD"/>
      </w:tcPr>
    </w:tblStylePr>
    <w:tblStylePr w:type="band1Horz">
      <w:tblPr/>
      <w:tcPr>
        <w:shd w:val="clear" w:color="auto" w:fill="EBD8AD"/>
      </w:tcPr>
    </w:tblStylePr>
  </w:style>
  <w:style w:type="table" w:customStyle="1" w:styleId="Cuadrculamedia1-nfasis51">
    <w:name w:val="Cuadrícula media 1 - Énfasis 51"/>
    <w:basedOn w:val="TableNormal"/>
    <w:next w:val="MediumGrid1-Accent5"/>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insideV w:val="single" w:sz="8" w:space="0" w:color="9CBDB5"/>
      </w:tblBorders>
    </w:tblPr>
    <w:tcPr>
      <w:shd w:val="clear" w:color="auto" w:fill="DEE9E6"/>
    </w:tcPr>
    <w:tblStylePr w:type="firstRow">
      <w:rPr>
        <w:b/>
        <w:bCs/>
      </w:rPr>
    </w:tblStylePr>
    <w:tblStylePr w:type="lastRow">
      <w:rPr>
        <w:b/>
        <w:bCs/>
      </w:rPr>
      <w:tblPr/>
      <w:tcPr>
        <w:tcBorders>
          <w:top w:val="single" w:sz="18" w:space="0" w:color="9CBDB5"/>
        </w:tcBorders>
      </w:tcPr>
    </w:tblStylePr>
    <w:tblStylePr w:type="firstCol">
      <w:rPr>
        <w:b/>
        <w:bCs/>
      </w:rPr>
    </w:tblStylePr>
    <w:tblStylePr w:type="lastCol">
      <w:rPr>
        <w:b/>
        <w:bCs/>
      </w:rPr>
    </w:tblStylePr>
    <w:tblStylePr w:type="band1Vert">
      <w:tblPr/>
      <w:tcPr>
        <w:shd w:val="clear" w:color="auto" w:fill="BDD3CE"/>
      </w:tcPr>
    </w:tblStylePr>
    <w:tblStylePr w:type="band1Horz">
      <w:tblPr/>
      <w:tcPr>
        <w:shd w:val="clear" w:color="auto" w:fill="BDD3CE"/>
      </w:tcPr>
    </w:tblStylePr>
  </w:style>
  <w:style w:type="table" w:customStyle="1" w:styleId="Cuadrculamedia1-nfasis61">
    <w:name w:val="Cuadrícula media 1 - Énfasis 61"/>
    <w:basedOn w:val="TableNormal"/>
    <w:next w:val="MediumGrid1-Accent6"/>
    <w:uiPriority w:val="67"/>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insideV w:val="single" w:sz="8" w:space="0" w:color="B0A8A8"/>
      </w:tblBorders>
    </w:tblPr>
    <w:tcPr>
      <w:shd w:val="clear" w:color="auto" w:fill="E5E2E2"/>
    </w:tcPr>
    <w:tblStylePr w:type="firstRow">
      <w:rPr>
        <w:b/>
        <w:bCs/>
      </w:rPr>
    </w:tblStylePr>
    <w:tblStylePr w:type="lastRow">
      <w:rPr>
        <w:b/>
        <w:bCs/>
      </w:rPr>
      <w:tblPr/>
      <w:tcPr>
        <w:tcBorders>
          <w:top w:val="single" w:sz="18" w:space="0" w:color="B0A8A8"/>
        </w:tcBorders>
      </w:tcPr>
    </w:tblStylePr>
    <w:tblStylePr w:type="firstCol">
      <w:rPr>
        <w:b/>
        <w:bCs/>
      </w:rPr>
    </w:tblStylePr>
    <w:tblStylePr w:type="lastCol">
      <w:rPr>
        <w:b/>
        <w:bCs/>
      </w:rPr>
    </w:tblStylePr>
    <w:tblStylePr w:type="band1Vert">
      <w:tblPr/>
      <w:tcPr>
        <w:shd w:val="clear" w:color="auto" w:fill="CAC5C5"/>
      </w:tcPr>
    </w:tblStylePr>
    <w:tblStylePr w:type="band1Horz">
      <w:tblPr/>
      <w:tcPr>
        <w:shd w:val="clear" w:color="auto" w:fill="CAC5C5"/>
      </w:tcPr>
    </w:tblStylePr>
  </w:style>
  <w:style w:type="table" w:customStyle="1" w:styleId="Cuadrculamedia21">
    <w:name w:val="Cuadrícula media 21"/>
    <w:basedOn w:val="TableNormal"/>
    <w:next w:val="MediumGrid2"/>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Cuadrculamedia2-nfasis11">
    <w:name w:val="Cuadrícula media 2 - Énfasis 11"/>
    <w:basedOn w:val="TableNormal"/>
    <w:next w:val="MediumGrid2-Accent1"/>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cPr>
      <w:shd w:val="clear" w:color="auto" w:fill="E4ECF4"/>
    </w:tcPr>
    <w:tblStylePr w:type="firstRow">
      <w:rPr>
        <w:b/>
        <w:bCs/>
        <w:color w:val="000000"/>
      </w:rPr>
      <w:tblPr/>
      <w:tcPr>
        <w:shd w:val="clear" w:color="auto" w:fill="F4F7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9F0F6"/>
      </w:tcPr>
    </w:tblStylePr>
    <w:tblStylePr w:type="band1Vert">
      <w:tblPr/>
      <w:tcPr>
        <w:shd w:val="clear" w:color="auto" w:fill="C9DAE8"/>
      </w:tcPr>
    </w:tblStylePr>
    <w:tblStylePr w:type="band1Horz">
      <w:tblPr/>
      <w:tcPr>
        <w:tcBorders>
          <w:insideH w:val="single" w:sz="6" w:space="0" w:color="94B6D2"/>
          <w:insideV w:val="single" w:sz="6" w:space="0" w:color="94B6D2"/>
        </w:tcBorders>
        <w:shd w:val="clear" w:color="auto" w:fill="C9DAE8"/>
      </w:tcPr>
    </w:tblStylePr>
    <w:tblStylePr w:type="nwCell">
      <w:tblPr/>
      <w:tcPr>
        <w:shd w:val="clear" w:color="auto" w:fill="FFFFFF"/>
      </w:tcPr>
    </w:tblStylePr>
  </w:style>
  <w:style w:type="table" w:customStyle="1" w:styleId="Cuadrculamedia2-nfasis21">
    <w:name w:val="Cuadrícula media 2 - Énfasis 21"/>
    <w:basedOn w:val="TableNormal"/>
    <w:next w:val="MediumGrid2-Accent2"/>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cPr>
      <w:shd w:val="clear" w:color="auto" w:fill="F6DFD1"/>
    </w:tcPr>
    <w:tblStylePr w:type="firstRow">
      <w:rPr>
        <w:b/>
        <w:bCs/>
        <w:color w:val="000000"/>
      </w:rPr>
      <w:tblPr/>
      <w:tcPr>
        <w:shd w:val="clear" w:color="auto" w:fill="FBF2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E5DA"/>
      </w:tcPr>
    </w:tblStylePr>
    <w:tblStylePr w:type="band1Vert">
      <w:tblPr/>
      <w:tcPr>
        <w:shd w:val="clear" w:color="auto" w:fill="EEBFA3"/>
      </w:tcPr>
    </w:tblStylePr>
    <w:tblStylePr w:type="band1Horz">
      <w:tblPr/>
      <w:tcPr>
        <w:tcBorders>
          <w:insideH w:val="single" w:sz="6" w:space="0" w:color="DD8047"/>
          <w:insideV w:val="single" w:sz="6" w:space="0" w:color="DD8047"/>
        </w:tcBorders>
        <w:shd w:val="clear" w:color="auto" w:fill="EEBFA3"/>
      </w:tcPr>
    </w:tblStylePr>
    <w:tblStylePr w:type="nwCell">
      <w:tblPr/>
      <w:tcPr>
        <w:shd w:val="clear" w:color="auto" w:fill="FFFFFF"/>
      </w:tcPr>
    </w:tblStylePr>
  </w:style>
  <w:style w:type="table" w:customStyle="1" w:styleId="Cuadrculamedia2-nfasis31">
    <w:name w:val="Cuadrícula media 2 - Énfasis 31"/>
    <w:basedOn w:val="TableNormal"/>
    <w:next w:val="MediumGrid2-Accent3"/>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cPr>
      <w:shd w:val="clear" w:color="auto" w:fill="E8EADF"/>
    </w:tcPr>
    <w:tblStylePr w:type="firstRow">
      <w:rPr>
        <w:b/>
        <w:bCs/>
        <w:color w:val="000000"/>
      </w:rPr>
      <w:tblPr/>
      <w:tcPr>
        <w:shd w:val="clear" w:color="auto" w:fill="F6F6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EE5"/>
      </w:tcPr>
    </w:tblStylePr>
    <w:tblStylePr w:type="band1Vert">
      <w:tblPr/>
      <w:tcPr>
        <w:shd w:val="clear" w:color="auto" w:fill="D2D5C0"/>
      </w:tcPr>
    </w:tblStylePr>
    <w:tblStylePr w:type="band1Horz">
      <w:tblPr/>
      <w:tcPr>
        <w:tcBorders>
          <w:insideH w:val="single" w:sz="6" w:space="0" w:color="A5AB81"/>
          <w:insideV w:val="single" w:sz="6" w:space="0" w:color="A5AB81"/>
        </w:tcBorders>
        <w:shd w:val="clear" w:color="auto" w:fill="D2D5C0"/>
      </w:tcPr>
    </w:tblStylePr>
    <w:tblStylePr w:type="nwCell">
      <w:tblPr/>
      <w:tcPr>
        <w:shd w:val="clear" w:color="auto" w:fill="FFFFFF"/>
      </w:tcPr>
    </w:tblStylePr>
  </w:style>
  <w:style w:type="table" w:customStyle="1" w:styleId="Cuadrculamedia2-nfasis41">
    <w:name w:val="Cuadrícula media 2 - Énfasis 41"/>
    <w:basedOn w:val="TableNormal"/>
    <w:next w:val="MediumGrid2-Accent4"/>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cPr>
      <w:shd w:val="clear" w:color="auto" w:fill="F5EBD6"/>
    </w:tcPr>
    <w:tblStylePr w:type="firstRow">
      <w:rPr>
        <w:b/>
        <w:bCs/>
        <w:color w:val="000000"/>
      </w:rPr>
      <w:tblPr/>
      <w:tcPr>
        <w:shd w:val="clear" w:color="auto" w:fill="FBF7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7EFDE"/>
      </w:tcPr>
    </w:tblStylePr>
    <w:tblStylePr w:type="band1Vert">
      <w:tblPr/>
      <w:tcPr>
        <w:shd w:val="clear" w:color="auto" w:fill="EBD8AD"/>
      </w:tcPr>
    </w:tblStylePr>
    <w:tblStylePr w:type="band1Horz">
      <w:tblPr/>
      <w:tcPr>
        <w:tcBorders>
          <w:insideH w:val="single" w:sz="6" w:space="0" w:color="D8B25C"/>
          <w:insideV w:val="single" w:sz="6" w:space="0" w:color="D8B25C"/>
        </w:tcBorders>
        <w:shd w:val="clear" w:color="auto" w:fill="EBD8AD"/>
      </w:tcPr>
    </w:tblStylePr>
    <w:tblStylePr w:type="nwCell">
      <w:tblPr/>
      <w:tcPr>
        <w:shd w:val="clear" w:color="auto" w:fill="FFFFFF"/>
      </w:tcPr>
    </w:tblStylePr>
  </w:style>
  <w:style w:type="table" w:customStyle="1" w:styleId="Cuadrculamedia2-nfasis51">
    <w:name w:val="Cuadrícula media 2 - Énfasis 51"/>
    <w:basedOn w:val="TableNormal"/>
    <w:next w:val="MediumGrid2-Accent5"/>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cPr>
      <w:shd w:val="clear" w:color="auto" w:fill="DEE9E6"/>
    </w:tcPr>
    <w:tblStylePr w:type="firstRow">
      <w:rPr>
        <w:b/>
        <w:bCs/>
        <w:color w:val="000000"/>
      </w:rPr>
      <w:tblPr/>
      <w:tcPr>
        <w:shd w:val="clear" w:color="auto" w:fill="F2F6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4EDEB"/>
      </w:tcPr>
    </w:tblStylePr>
    <w:tblStylePr w:type="band1Vert">
      <w:tblPr/>
      <w:tcPr>
        <w:shd w:val="clear" w:color="auto" w:fill="BDD3CE"/>
      </w:tcPr>
    </w:tblStylePr>
    <w:tblStylePr w:type="band1Horz">
      <w:tblPr/>
      <w:tcPr>
        <w:tcBorders>
          <w:insideH w:val="single" w:sz="6" w:space="0" w:color="7BA79D"/>
          <w:insideV w:val="single" w:sz="6" w:space="0" w:color="7BA79D"/>
        </w:tcBorders>
        <w:shd w:val="clear" w:color="auto" w:fill="BDD3CE"/>
      </w:tcPr>
    </w:tblStylePr>
    <w:tblStylePr w:type="nwCell">
      <w:tblPr/>
      <w:tcPr>
        <w:shd w:val="clear" w:color="auto" w:fill="FFFFFF"/>
      </w:tcPr>
    </w:tblStylePr>
  </w:style>
  <w:style w:type="table" w:customStyle="1" w:styleId="Cuadrculamedia2-nfasis61">
    <w:name w:val="Cuadrícula media 2 - Énfasis 61"/>
    <w:basedOn w:val="TableNormal"/>
    <w:next w:val="MediumGrid2-Accent6"/>
    <w:uiPriority w:val="68"/>
    <w:semiHidden/>
    <w:unhideWhenUsed/>
    <w:rsid w:val="0075191A"/>
    <w:rPr>
      <w:rFonts w:ascii="Century Gothic" w:eastAsia="Meiryo" w:hAnsi="Century Gothic" w:cs="Times New Roman"/>
      <w:color w:val="000000"/>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cPr>
      <w:shd w:val="clear" w:color="auto" w:fill="E5E2E2"/>
    </w:tcPr>
    <w:tblStylePr w:type="firstRow">
      <w:rPr>
        <w:b/>
        <w:bCs/>
        <w:color w:val="000000"/>
      </w:rPr>
      <w:tblPr/>
      <w:tcPr>
        <w:shd w:val="clear" w:color="auto" w:fill="F4F3F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E8E8"/>
      </w:tcPr>
    </w:tblStylePr>
    <w:tblStylePr w:type="band1Vert">
      <w:tblPr/>
      <w:tcPr>
        <w:shd w:val="clear" w:color="auto" w:fill="CAC5C5"/>
      </w:tcPr>
    </w:tblStylePr>
    <w:tblStylePr w:type="band1Horz">
      <w:tblPr/>
      <w:tcPr>
        <w:tcBorders>
          <w:insideH w:val="single" w:sz="6" w:space="0" w:color="968C8C"/>
          <w:insideV w:val="single" w:sz="6" w:space="0" w:color="968C8C"/>
        </w:tcBorders>
        <w:shd w:val="clear" w:color="auto" w:fill="CAC5C5"/>
      </w:tcPr>
    </w:tblStylePr>
    <w:tblStylePr w:type="nwCell">
      <w:tblPr/>
      <w:tcPr>
        <w:shd w:val="clear" w:color="auto" w:fill="FFFFFF"/>
      </w:tcPr>
    </w:tblStylePr>
  </w:style>
  <w:style w:type="table" w:customStyle="1" w:styleId="Cuadrculamedia31">
    <w:name w:val="Cuadrícula media 31"/>
    <w:basedOn w:val="TableNormal"/>
    <w:next w:val="MediumGrid3"/>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uadrculamedia3-nfasis11">
    <w:name w:val="Cuadrícula media 3 - Énfasis 11"/>
    <w:basedOn w:val="TableNormal"/>
    <w:next w:val="MediumGrid3-Accent1"/>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4EC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4B6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4B6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4B6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4B6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9DA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9DAE8"/>
      </w:tcPr>
    </w:tblStylePr>
  </w:style>
  <w:style w:type="table" w:customStyle="1" w:styleId="Cuadrculamedia3-nfasis21">
    <w:name w:val="Cuadrícula media 3 - Énfasis 21"/>
    <w:basedOn w:val="TableNormal"/>
    <w:next w:val="MediumGrid3-Accent2"/>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D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80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80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80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80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B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BFA3"/>
      </w:tcPr>
    </w:tblStylePr>
  </w:style>
  <w:style w:type="table" w:customStyle="1" w:styleId="Cuadrculamedia3-nfasis31">
    <w:name w:val="Cuadrícula media 3 - Énfasis 31"/>
    <w:basedOn w:val="TableNormal"/>
    <w:next w:val="MediumGrid3-Accent3"/>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A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B8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B8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B8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B8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5C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5C0"/>
      </w:tcPr>
    </w:tblStylePr>
  </w:style>
  <w:style w:type="table" w:customStyle="1" w:styleId="Cuadrculamedia3-nfasis41">
    <w:name w:val="Cuadrícula media 3 - Énfasis 41"/>
    <w:basedOn w:val="TableNormal"/>
    <w:next w:val="MediumGrid3-Accent4"/>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5EB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8B25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8B25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8B25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8B25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BD8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BD8AD"/>
      </w:tcPr>
    </w:tblStylePr>
  </w:style>
  <w:style w:type="table" w:customStyle="1" w:styleId="Cuadrculamedia3-nfasis51">
    <w:name w:val="Cuadrícula media 3 - Énfasis 51"/>
    <w:basedOn w:val="TableNormal"/>
    <w:next w:val="MediumGrid3-Accent5"/>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E9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BA79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BA79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BA79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BA79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D3C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D3CE"/>
      </w:tcPr>
    </w:tblStylePr>
  </w:style>
  <w:style w:type="table" w:customStyle="1" w:styleId="Cuadrculamedia3-nfasis61">
    <w:name w:val="Cuadrícula media 3 - Énfasis 61"/>
    <w:basedOn w:val="TableNormal"/>
    <w:next w:val="MediumGrid3-Accent6"/>
    <w:uiPriority w:val="69"/>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68C8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68C8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68C8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68C8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AC5C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AC5C5"/>
      </w:tcPr>
    </w:tblStylePr>
  </w:style>
  <w:style w:type="table" w:customStyle="1" w:styleId="Tablaelegante1">
    <w:name w:val="Tabla elegante1"/>
    <w:basedOn w:val="TableNormal"/>
    <w:next w:val="TableElegant"/>
    <w:uiPriority w:val="99"/>
    <w:semiHidden/>
    <w:unhideWhenUsed/>
    <w:rsid w:val="0075191A"/>
    <w:rPr>
      <w:rFonts w:ascii="Century Gothic" w:eastAsia="Meiryo" w:hAnsi="Century Gothic" w:cs="Arial"/>
      <w:sz w:val="20"/>
      <w:szCs w:val="20"/>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lista11">
    <w:name w:val="Tabla con lista 11"/>
    <w:basedOn w:val="TableNormal"/>
    <w:next w:val="TableList1"/>
    <w:uiPriority w:val="99"/>
    <w:semiHidden/>
    <w:unhideWhenUsed/>
    <w:rsid w:val="0075191A"/>
    <w:rPr>
      <w:rFonts w:ascii="Century Gothic" w:eastAsia="Meiryo" w:hAnsi="Century Gothic" w:cs="Arial"/>
      <w:sz w:val="20"/>
      <w:szCs w:val="20"/>
      <w:lang w:val="en-US"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21">
    <w:name w:val="Tabla con lista 21"/>
    <w:basedOn w:val="TableNormal"/>
    <w:next w:val="TableList2"/>
    <w:uiPriority w:val="99"/>
    <w:semiHidden/>
    <w:unhideWhenUsed/>
    <w:rsid w:val="0075191A"/>
    <w:rPr>
      <w:rFonts w:ascii="Century Gothic" w:eastAsia="Meiryo" w:hAnsi="Century Gothic" w:cs="Arial"/>
      <w:sz w:val="20"/>
      <w:szCs w:val="20"/>
      <w:lang w:val="en-US"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1">
    <w:name w:val="Tabla con lista 31"/>
    <w:basedOn w:val="TableNormal"/>
    <w:next w:val="TableList3"/>
    <w:uiPriority w:val="99"/>
    <w:semiHidden/>
    <w:unhideWhenUsed/>
    <w:rsid w:val="0075191A"/>
    <w:rPr>
      <w:rFonts w:ascii="Century Gothic" w:eastAsia="Meiryo" w:hAnsi="Century Gothic" w:cs="Arial"/>
      <w:sz w:val="20"/>
      <w:szCs w:val="20"/>
      <w:lang w:val="en-US"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lista41">
    <w:name w:val="Tabla con lista 41"/>
    <w:basedOn w:val="TableNormal"/>
    <w:next w:val="TableList4"/>
    <w:uiPriority w:val="99"/>
    <w:semiHidden/>
    <w:unhideWhenUsed/>
    <w:rsid w:val="0075191A"/>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1">
    <w:name w:val="Tabla con lista 51"/>
    <w:basedOn w:val="TableNormal"/>
    <w:next w:val="TableList5"/>
    <w:uiPriority w:val="99"/>
    <w:semiHidden/>
    <w:unhideWhenUsed/>
    <w:rsid w:val="0075191A"/>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aconlista61">
    <w:name w:val="Tabla con lista 61"/>
    <w:basedOn w:val="TableNormal"/>
    <w:next w:val="TableList6"/>
    <w:uiPriority w:val="99"/>
    <w:semiHidden/>
    <w:unhideWhenUsed/>
    <w:rsid w:val="0075191A"/>
    <w:rPr>
      <w:rFonts w:ascii="Century Gothic" w:eastAsia="Meiryo" w:hAnsi="Century Gothic" w:cs="Arial"/>
      <w:sz w:val="20"/>
      <w:szCs w:val="20"/>
      <w:lang w:val="en-US"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aconlista71">
    <w:name w:val="Tabla con lista 71"/>
    <w:basedOn w:val="TableNormal"/>
    <w:next w:val="TableList7"/>
    <w:uiPriority w:val="99"/>
    <w:semiHidden/>
    <w:unhideWhenUsed/>
    <w:rsid w:val="0075191A"/>
    <w:rPr>
      <w:rFonts w:ascii="Century Gothic" w:eastAsia="Meiryo" w:hAnsi="Century Gothic" w:cs="Arial"/>
      <w:sz w:val="20"/>
      <w:szCs w:val="20"/>
      <w:lang w:val="en-US"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aconlista81">
    <w:name w:val="Tabla con lista 81"/>
    <w:basedOn w:val="TableNormal"/>
    <w:next w:val="TableList8"/>
    <w:uiPriority w:val="99"/>
    <w:semiHidden/>
    <w:unhideWhenUsed/>
    <w:rsid w:val="0075191A"/>
    <w:rPr>
      <w:rFonts w:ascii="Century Gothic" w:eastAsia="Meiryo" w:hAnsi="Century Gothic" w:cs="Arial"/>
      <w:sz w:val="20"/>
      <w:szCs w:val="20"/>
      <w:lang w:val="en-US"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aclsica11">
    <w:name w:val="Tabla clásica 11"/>
    <w:basedOn w:val="TableNormal"/>
    <w:next w:val="TableClassic1"/>
    <w:uiPriority w:val="99"/>
    <w:semiHidden/>
    <w:unhideWhenUsed/>
    <w:rsid w:val="0075191A"/>
    <w:rPr>
      <w:rFonts w:ascii="Century Gothic" w:eastAsia="Meiryo" w:hAnsi="Century Gothic" w:cs="Arial"/>
      <w:sz w:val="20"/>
      <w:szCs w:val="20"/>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21">
    <w:name w:val="Tabla clásica 21"/>
    <w:basedOn w:val="TableNormal"/>
    <w:next w:val="TableClassic2"/>
    <w:uiPriority w:val="99"/>
    <w:semiHidden/>
    <w:unhideWhenUsed/>
    <w:rsid w:val="0075191A"/>
    <w:rPr>
      <w:rFonts w:ascii="Century Gothic" w:eastAsia="Meiryo" w:hAnsi="Century Gothic" w:cs="Arial"/>
      <w:sz w:val="20"/>
      <w:szCs w:val="20"/>
      <w:lang w:val="en-US"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lsica31">
    <w:name w:val="Tabla clásica 31"/>
    <w:basedOn w:val="TableNormal"/>
    <w:next w:val="TableClassic3"/>
    <w:uiPriority w:val="99"/>
    <w:semiHidden/>
    <w:unhideWhenUsed/>
    <w:rsid w:val="0075191A"/>
    <w:rPr>
      <w:rFonts w:ascii="Century Gothic" w:eastAsia="Meiryo" w:hAnsi="Century Gothic" w:cs="Arial"/>
      <w:color w:val="000080"/>
      <w:sz w:val="20"/>
      <w:szCs w:val="20"/>
      <w:lang w:val="en-US"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41">
    <w:name w:val="Tabla clásica 41"/>
    <w:basedOn w:val="TableNormal"/>
    <w:next w:val="TableClassic4"/>
    <w:uiPriority w:val="99"/>
    <w:semiHidden/>
    <w:unhideWhenUsed/>
    <w:rsid w:val="0075191A"/>
    <w:rPr>
      <w:rFonts w:ascii="Century Gothic" w:eastAsia="Meiryo" w:hAnsi="Century Gothic" w:cs="Arial"/>
      <w:sz w:val="20"/>
      <w:szCs w:val="20"/>
      <w:lang w:val="en-US"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stavistosa1">
    <w:name w:val="Lista vistosa1"/>
    <w:basedOn w:val="TableNormal"/>
    <w:next w:val="ColorfulList"/>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stavistosa-nfasis11">
    <w:name w:val="Lista vistosa - Énfasis 11"/>
    <w:basedOn w:val="TableNormal"/>
    <w:next w:val="ColorfulList-Accent1"/>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4F7FA"/>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cPr>
    </w:tblStylePr>
    <w:tblStylePr w:type="band1Horz">
      <w:tblPr/>
      <w:tcPr>
        <w:shd w:val="clear" w:color="auto" w:fill="E9F0F6"/>
      </w:tcPr>
    </w:tblStylePr>
  </w:style>
  <w:style w:type="table" w:customStyle="1" w:styleId="Listavistosa-nfasis21">
    <w:name w:val="Lista vistosa - Énfasis 21"/>
    <w:basedOn w:val="TableNormal"/>
    <w:next w:val="ColorfulList-Accent2"/>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BF2EC"/>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cPr>
    </w:tblStylePr>
    <w:tblStylePr w:type="band1Horz">
      <w:tblPr/>
      <w:tcPr>
        <w:shd w:val="clear" w:color="auto" w:fill="F8E5DA"/>
      </w:tcPr>
    </w:tblStylePr>
  </w:style>
  <w:style w:type="table" w:customStyle="1" w:styleId="Listavistosa-nfasis31">
    <w:name w:val="Lista vistosa - Énfasis 31"/>
    <w:basedOn w:val="TableNormal"/>
    <w:next w:val="ColorfulList-Accent3"/>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6F6F2"/>
    </w:tcPr>
    <w:tblStylePr w:type="firstRow">
      <w:rPr>
        <w:b/>
        <w:bCs/>
        <w:color w:val="FFFFFF"/>
      </w:rPr>
      <w:tblPr/>
      <w:tcPr>
        <w:tcBorders>
          <w:bottom w:val="single" w:sz="12" w:space="0" w:color="FFFFFF"/>
        </w:tcBorders>
        <w:shd w:val="clear" w:color="auto" w:fill="C6972F"/>
      </w:tcPr>
    </w:tblStylePr>
    <w:tblStylePr w:type="lastRow">
      <w:rPr>
        <w:b/>
        <w:bCs/>
        <w:color w:val="C6972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cPr>
    </w:tblStylePr>
    <w:tblStylePr w:type="band1Horz">
      <w:tblPr/>
      <w:tcPr>
        <w:shd w:val="clear" w:color="auto" w:fill="EDEEE5"/>
      </w:tcPr>
    </w:tblStylePr>
  </w:style>
  <w:style w:type="table" w:customStyle="1" w:styleId="Listavistosa-nfasis41">
    <w:name w:val="Lista vistosa - Énfasis 41"/>
    <w:basedOn w:val="TableNormal"/>
    <w:next w:val="ColorfulList-Accent4"/>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BF7EE"/>
    </w:tcPr>
    <w:tblStylePr w:type="firstRow">
      <w:rPr>
        <w:b/>
        <w:bCs/>
        <w:color w:val="FFFFFF"/>
      </w:rPr>
      <w:tblPr/>
      <w:tcPr>
        <w:tcBorders>
          <w:bottom w:val="single" w:sz="12" w:space="0" w:color="FFFFFF"/>
        </w:tcBorders>
        <w:shd w:val="clear" w:color="auto" w:fill="899060"/>
      </w:tcPr>
    </w:tblStylePr>
    <w:tblStylePr w:type="lastRow">
      <w:rPr>
        <w:b/>
        <w:bCs/>
        <w:color w:val="899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cPr>
    </w:tblStylePr>
    <w:tblStylePr w:type="band1Horz">
      <w:tblPr/>
      <w:tcPr>
        <w:shd w:val="clear" w:color="auto" w:fill="F7EFDE"/>
      </w:tcPr>
    </w:tblStylePr>
  </w:style>
  <w:style w:type="table" w:customStyle="1" w:styleId="Listavistosa-nfasis51">
    <w:name w:val="Lista vistosa - Énfasis 51"/>
    <w:basedOn w:val="TableNormal"/>
    <w:next w:val="ColorfulList-Accent5"/>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2F6F5"/>
    </w:tcPr>
    <w:tblStylePr w:type="firstRow">
      <w:rPr>
        <w:b/>
        <w:bCs/>
        <w:color w:val="FFFFFF"/>
      </w:rPr>
      <w:tblPr/>
      <w:tcPr>
        <w:tcBorders>
          <w:bottom w:val="single" w:sz="12" w:space="0" w:color="FFFFFF"/>
        </w:tcBorders>
        <w:shd w:val="clear" w:color="auto" w:fill="796E6E"/>
      </w:tcPr>
    </w:tblStylePr>
    <w:tblStylePr w:type="lastRow">
      <w:rPr>
        <w:b/>
        <w:bCs/>
        <w:color w:val="796E6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cPr>
    </w:tblStylePr>
    <w:tblStylePr w:type="band1Horz">
      <w:tblPr/>
      <w:tcPr>
        <w:shd w:val="clear" w:color="auto" w:fill="E4EDEB"/>
      </w:tcPr>
    </w:tblStylePr>
  </w:style>
  <w:style w:type="table" w:customStyle="1" w:styleId="Listavistosa-nfasis61">
    <w:name w:val="Lista vistosa - Énfasis 61"/>
    <w:basedOn w:val="TableNormal"/>
    <w:next w:val="ColorfulList-Accent6"/>
    <w:uiPriority w:val="72"/>
    <w:semiHidden/>
    <w:unhideWhenUsed/>
    <w:rsid w:val="0075191A"/>
    <w:rPr>
      <w:rFonts w:ascii="Century Gothic" w:eastAsia="Meiryo" w:hAnsi="Century Gothic" w:cs="Arial"/>
      <w:color w:val="000000"/>
      <w:sz w:val="20"/>
      <w:szCs w:val="20"/>
      <w:lang w:val="en-US" w:eastAsia="zh-CN"/>
    </w:rPr>
    <w:tblPr>
      <w:tblStyleRowBandSize w:val="1"/>
      <w:tblStyleColBandSize w:val="1"/>
    </w:tblPr>
    <w:tcPr>
      <w:shd w:val="clear" w:color="auto" w:fill="F4F3F3"/>
    </w:tcPr>
    <w:tblStylePr w:type="firstRow">
      <w:rPr>
        <w:b/>
        <w:bCs/>
        <w:color w:val="FFFFFF"/>
      </w:rPr>
      <w:tblPr/>
      <w:tcPr>
        <w:tcBorders>
          <w:bottom w:val="single" w:sz="12" w:space="0" w:color="FFFFFF"/>
        </w:tcBorders>
        <w:shd w:val="clear" w:color="auto" w:fill="5C8B80"/>
      </w:tcPr>
    </w:tblStylePr>
    <w:tblStylePr w:type="lastRow">
      <w:rPr>
        <w:b/>
        <w:bCs/>
        <w:color w:val="5C8B8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cPr>
    </w:tblStylePr>
    <w:tblStylePr w:type="band1Horz">
      <w:tblPr/>
      <w:tcPr>
        <w:shd w:val="clear" w:color="auto" w:fill="EAE8E8"/>
      </w:tcPr>
    </w:tblStylePr>
  </w:style>
  <w:style w:type="table" w:customStyle="1" w:styleId="Tablavistosa11">
    <w:name w:val="Tabla vistosa 11"/>
    <w:basedOn w:val="TableNormal"/>
    <w:next w:val="TableColorful1"/>
    <w:uiPriority w:val="99"/>
    <w:semiHidden/>
    <w:unhideWhenUsed/>
    <w:rsid w:val="0075191A"/>
    <w:rPr>
      <w:rFonts w:ascii="Century Gothic" w:eastAsia="Meiryo" w:hAnsi="Century Gothic" w:cs="Arial"/>
      <w:color w:val="FFFFFF"/>
      <w:sz w:val="20"/>
      <w:szCs w:val="20"/>
      <w:lang w:val="en-US"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21">
    <w:name w:val="Tabla vistosa 21"/>
    <w:basedOn w:val="TableNormal"/>
    <w:next w:val="TableColorful2"/>
    <w:uiPriority w:val="99"/>
    <w:semiHidden/>
    <w:unhideWhenUsed/>
    <w:rsid w:val="0075191A"/>
    <w:rPr>
      <w:rFonts w:ascii="Century Gothic" w:eastAsia="Meiryo" w:hAnsi="Century Gothic" w:cs="Arial"/>
      <w:sz w:val="20"/>
      <w:szCs w:val="20"/>
      <w:lang w:val="en-US"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31">
    <w:name w:val="Tabla vistosa 31"/>
    <w:basedOn w:val="TableNormal"/>
    <w:next w:val="TableColorful3"/>
    <w:uiPriority w:val="99"/>
    <w:semiHidden/>
    <w:unhideWhenUsed/>
    <w:rsid w:val="0075191A"/>
    <w:rPr>
      <w:rFonts w:ascii="Century Gothic" w:eastAsia="Meiryo" w:hAnsi="Century Gothic" w:cs="Arial"/>
      <w:sz w:val="20"/>
      <w:szCs w:val="20"/>
      <w:lang w:val="en-US"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ombreadovistoso1">
    <w:name w:val="Sombreado vistoso1"/>
    <w:basedOn w:val="TableNormal"/>
    <w:next w:val="ColorfulShading"/>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Sombreadovistoso-nfasis11">
    <w:name w:val="Sombreado vistoso - Énfasis 11"/>
    <w:basedOn w:val="TableNormal"/>
    <w:next w:val="ColorfulShading-Accent1"/>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94B6D2"/>
        <w:bottom w:val="single" w:sz="4" w:space="0" w:color="94B6D2"/>
        <w:right w:val="single" w:sz="4" w:space="0" w:color="94B6D2"/>
        <w:insideH w:val="single" w:sz="4" w:space="0" w:color="FFFFFF"/>
        <w:insideV w:val="single" w:sz="4" w:space="0" w:color="FFFFFF"/>
      </w:tblBorders>
    </w:tblPr>
    <w:tcPr>
      <w:shd w:val="clear" w:color="auto" w:fill="F4F7FA"/>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F6F97"/>
      </w:tcPr>
    </w:tblStylePr>
    <w:tblStylePr w:type="firstCol">
      <w:rPr>
        <w:color w:val="FFFFFF"/>
      </w:rPr>
      <w:tblPr/>
      <w:tcPr>
        <w:tcBorders>
          <w:top w:val="nil"/>
          <w:left w:val="nil"/>
          <w:bottom w:val="nil"/>
          <w:right w:val="nil"/>
          <w:insideH w:val="single" w:sz="4" w:space="0" w:color="3F6F97"/>
          <w:insideV w:val="nil"/>
        </w:tcBorders>
        <w:shd w:val="clear" w:color="auto" w:fill="3F6F97"/>
      </w:tcPr>
    </w:tblStylePr>
    <w:tblStylePr w:type="lastCol">
      <w:rPr>
        <w:color w:val="FFFFFF"/>
      </w:rPr>
      <w:tblPr/>
      <w:tcPr>
        <w:tcBorders>
          <w:top w:val="nil"/>
          <w:left w:val="nil"/>
          <w:bottom w:val="nil"/>
          <w:right w:val="nil"/>
          <w:insideH w:val="nil"/>
          <w:insideV w:val="nil"/>
        </w:tcBorders>
        <w:shd w:val="clear" w:color="auto" w:fill="3F6F97"/>
      </w:tcPr>
    </w:tblStylePr>
    <w:tblStylePr w:type="band1Vert">
      <w:tblPr/>
      <w:tcPr>
        <w:shd w:val="clear" w:color="auto" w:fill="D4E1ED"/>
      </w:tcPr>
    </w:tblStylePr>
    <w:tblStylePr w:type="band1Horz">
      <w:tblPr/>
      <w:tcPr>
        <w:shd w:val="clear" w:color="auto" w:fill="C9DAE8"/>
      </w:tcPr>
    </w:tblStylePr>
    <w:tblStylePr w:type="neCell">
      <w:rPr>
        <w:color w:val="000000"/>
      </w:rPr>
    </w:tblStylePr>
    <w:tblStylePr w:type="nwCell">
      <w:rPr>
        <w:color w:val="000000"/>
      </w:rPr>
    </w:tblStylePr>
  </w:style>
  <w:style w:type="table" w:customStyle="1" w:styleId="Sombreadovistoso-nfasis21">
    <w:name w:val="Sombreado vistoso - Énfasis 21"/>
    <w:basedOn w:val="TableNormal"/>
    <w:next w:val="ColorfulShading-Accent2"/>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DD8047"/>
        <w:bottom w:val="single" w:sz="4" w:space="0" w:color="DD8047"/>
        <w:right w:val="single" w:sz="4" w:space="0" w:color="DD8047"/>
        <w:insideH w:val="single" w:sz="4" w:space="0" w:color="FFFFFF"/>
        <w:insideV w:val="single" w:sz="4" w:space="0" w:color="FFFFFF"/>
      </w:tblBorders>
    </w:tblPr>
    <w:tcPr>
      <w:shd w:val="clear" w:color="auto" w:fill="FBF2EC"/>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3481B"/>
      </w:tcPr>
    </w:tblStylePr>
    <w:tblStylePr w:type="firstCol">
      <w:rPr>
        <w:color w:val="FFFFFF"/>
      </w:rPr>
      <w:tblPr/>
      <w:tcPr>
        <w:tcBorders>
          <w:top w:val="nil"/>
          <w:left w:val="nil"/>
          <w:bottom w:val="nil"/>
          <w:right w:val="nil"/>
          <w:insideH w:val="single" w:sz="4" w:space="0" w:color="93481B"/>
          <w:insideV w:val="nil"/>
        </w:tcBorders>
        <w:shd w:val="clear" w:color="auto" w:fill="93481B"/>
      </w:tcPr>
    </w:tblStylePr>
    <w:tblStylePr w:type="lastCol">
      <w:rPr>
        <w:color w:val="FFFFFF"/>
      </w:rPr>
      <w:tblPr/>
      <w:tcPr>
        <w:tcBorders>
          <w:top w:val="nil"/>
          <w:left w:val="nil"/>
          <w:bottom w:val="nil"/>
          <w:right w:val="nil"/>
          <w:insideH w:val="nil"/>
          <w:insideV w:val="nil"/>
        </w:tcBorders>
        <w:shd w:val="clear" w:color="auto" w:fill="93481B"/>
      </w:tcPr>
    </w:tblStylePr>
    <w:tblStylePr w:type="band1Vert">
      <w:tblPr/>
      <w:tcPr>
        <w:shd w:val="clear" w:color="auto" w:fill="F1CBB5"/>
      </w:tcPr>
    </w:tblStylePr>
    <w:tblStylePr w:type="band1Horz">
      <w:tblPr/>
      <w:tcPr>
        <w:shd w:val="clear" w:color="auto" w:fill="EEBFA3"/>
      </w:tcPr>
    </w:tblStylePr>
    <w:tblStylePr w:type="neCell">
      <w:rPr>
        <w:color w:val="000000"/>
      </w:rPr>
    </w:tblStylePr>
    <w:tblStylePr w:type="nwCell">
      <w:rPr>
        <w:color w:val="000000"/>
      </w:rPr>
    </w:tblStylePr>
  </w:style>
  <w:style w:type="table" w:customStyle="1" w:styleId="Sombreadovistoso-nfasis31">
    <w:name w:val="Sombreado vistoso - Énfasis 31"/>
    <w:basedOn w:val="TableNormal"/>
    <w:next w:val="ColorfulShading-Accent3"/>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D8B25C"/>
        <w:left w:val="single" w:sz="4" w:space="0" w:color="A5AB81"/>
        <w:bottom w:val="single" w:sz="4" w:space="0" w:color="A5AB81"/>
        <w:right w:val="single" w:sz="4" w:space="0" w:color="A5AB81"/>
        <w:insideH w:val="single" w:sz="4" w:space="0" w:color="FFFFFF"/>
        <w:insideV w:val="single" w:sz="4" w:space="0" w:color="FFFFFF"/>
      </w:tblBorders>
    </w:tblPr>
    <w:tcPr>
      <w:shd w:val="clear" w:color="auto" w:fill="F6F6F2"/>
    </w:tcPr>
    <w:tblStylePr w:type="firstRow">
      <w:rPr>
        <w:b/>
        <w:bCs/>
      </w:rPr>
      <w:tblPr/>
      <w:tcPr>
        <w:tcBorders>
          <w:top w:val="nil"/>
          <w:left w:val="nil"/>
          <w:bottom w:val="single" w:sz="24" w:space="0" w:color="D8B25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66C48"/>
      </w:tcPr>
    </w:tblStylePr>
    <w:tblStylePr w:type="firstCol">
      <w:rPr>
        <w:color w:val="FFFFFF"/>
      </w:rPr>
      <w:tblPr/>
      <w:tcPr>
        <w:tcBorders>
          <w:top w:val="nil"/>
          <w:left w:val="nil"/>
          <w:bottom w:val="nil"/>
          <w:right w:val="nil"/>
          <w:insideH w:val="single" w:sz="4" w:space="0" w:color="666C48"/>
          <w:insideV w:val="nil"/>
        </w:tcBorders>
        <w:shd w:val="clear" w:color="auto" w:fill="666C48"/>
      </w:tcPr>
    </w:tblStylePr>
    <w:tblStylePr w:type="lastCol">
      <w:rPr>
        <w:color w:val="FFFFFF"/>
      </w:rPr>
      <w:tblPr/>
      <w:tcPr>
        <w:tcBorders>
          <w:top w:val="nil"/>
          <w:left w:val="nil"/>
          <w:bottom w:val="nil"/>
          <w:right w:val="nil"/>
          <w:insideH w:val="nil"/>
          <w:insideV w:val="nil"/>
        </w:tcBorders>
        <w:shd w:val="clear" w:color="auto" w:fill="666C48"/>
      </w:tcPr>
    </w:tblStylePr>
    <w:tblStylePr w:type="band1Vert">
      <w:tblPr/>
      <w:tcPr>
        <w:shd w:val="clear" w:color="auto" w:fill="DBDDCC"/>
      </w:tcPr>
    </w:tblStylePr>
    <w:tblStylePr w:type="band1Horz">
      <w:tblPr/>
      <w:tcPr>
        <w:shd w:val="clear" w:color="auto" w:fill="D2D5C0"/>
      </w:tcPr>
    </w:tblStylePr>
  </w:style>
  <w:style w:type="table" w:customStyle="1" w:styleId="Sombreadovistoso-nfasis41">
    <w:name w:val="Sombreado vistoso - Énfasis 41"/>
    <w:basedOn w:val="TableNormal"/>
    <w:next w:val="ColorfulShading-Accent4"/>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A5AB81"/>
        <w:left w:val="single" w:sz="4" w:space="0" w:color="D8B25C"/>
        <w:bottom w:val="single" w:sz="4" w:space="0" w:color="D8B25C"/>
        <w:right w:val="single" w:sz="4" w:space="0" w:color="D8B25C"/>
        <w:insideH w:val="single" w:sz="4" w:space="0" w:color="FFFFFF"/>
        <w:insideV w:val="single" w:sz="4" w:space="0" w:color="FFFFFF"/>
      </w:tblBorders>
    </w:tblPr>
    <w:tcPr>
      <w:shd w:val="clear" w:color="auto" w:fill="FBF7EE"/>
    </w:tcPr>
    <w:tblStylePr w:type="firstRow">
      <w:rPr>
        <w:b/>
        <w:bCs/>
      </w:rPr>
      <w:tblPr/>
      <w:tcPr>
        <w:tcBorders>
          <w:top w:val="nil"/>
          <w:left w:val="nil"/>
          <w:bottom w:val="single" w:sz="24" w:space="0" w:color="A5AB8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57123"/>
      </w:tcPr>
    </w:tblStylePr>
    <w:tblStylePr w:type="firstCol">
      <w:rPr>
        <w:color w:val="FFFFFF"/>
      </w:rPr>
      <w:tblPr/>
      <w:tcPr>
        <w:tcBorders>
          <w:top w:val="nil"/>
          <w:left w:val="nil"/>
          <w:bottom w:val="nil"/>
          <w:right w:val="nil"/>
          <w:insideH w:val="single" w:sz="4" w:space="0" w:color="957123"/>
          <w:insideV w:val="nil"/>
        </w:tcBorders>
        <w:shd w:val="clear" w:color="auto" w:fill="957123"/>
      </w:tcPr>
    </w:tblStylePr>
    <w:tblStylePr w:type="lastCol">
      <w:rPr>
        <w:color w:val="FFFFFF"/>
      </w:rPr>
      <w:tblPr/>
      <w:tcPr>
        <w:tcBorders>
          <w:top w:val="nil"/>
          <w:left w:val="nil"/>
          <w:bottom w:val="nil"/>
          <w:right w:val="nil"/>
          <w:insideH w:val="nil"/>
          <w:insideV w:val="nil"/>
        </w:tcBorders>
        <w:shd w:val="clear" w:color="auto" w:fill="957123"/>
      </w:tcPr>
    </w:tblStylePr>
    <w:tblStylePr w:type="band1Vert">
      <w:tblPr/>
      <w:tcPr>
        <w:shd w:val="clear" w:color="auto" w:fill="EFE0BD"/>
      </w:tcPr>
    </w:tblStylePr>
    <w:tblStylePr w:type="band1Horz">
      <w:tblPr/>
      <w:tcPr>
        <w:shd w:val="clear" w:color="auto" w:fill="EBD8AD"/>
      </w:tcPr>
    </w:tblStylePr>
    <w:tblStylePr w:type="neCell">
      <w:rPr>
        <w:color w:val="000000"/>
      </w:rPr>
    </w:tblStylePr>
    <w:tblStylePr w:type="nwCell">
      <w:rPr>
        <w:color w:val="000000"/>
      </w:rPr>
    </w:tblStylePr>
  </w:style>
  <w:style w:type="table" w:customStyle="1" w:styleId="Sombreadovistoso-nfasis51">
    <w:name w:val="Sombreado vistoso - Énfasis 51"/>
    <w:basedOn w:val="TableNormal"/>
    <w:next w:val="ColorfulShading-Accent5"/>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968C8C"/>
        <w:left w:val="single" w:sz="4" w:space="0" w:color="7BA79D"/>
        <w:bottom w:val="single" w:sz="4" w:space="0" w:color="7BA79D"/>
        <w:right w:val="single" w:sz="4" w:space="0" w:color="7BA79D"/>
        <w:insideH w:val="single" w:sz="4" w:space="0" w:color="FFFFFF"/>
        <w:insideV w:val="single" w:sz="4" w:space="0" w:color="FFFFFF"/>
      </w:tblBorders>
    </w:tblPr>
    <w:tcPr>
      <w:shd w:val="clear" w:color="auto" w:fill="F2F6F5"/>
    </w:tcPr>
    <w:tblStylePr w:type="firstRow">
      <w:rPr>
        <w:b/>
        <w:bCs/>
      </w:rPr>
      <w:tblPr/>
      <w:tcPr>
        <w:tcBorders>
          <w:top w:val="nil"/>
          <w:left w:val="nil"/>
          <w:bottom w:val="single" w:sz="24" w:space="0" w:color="968C8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6860"/>
      </w:tcPr>
    </w:tblStylePr>
    <w:tblStylePr w:type="firstCol">
      <w:rPr>
        <w:color w:val="FFFFFF"/>
      </w:rPr>
      <w:tblPr/>
      <w:tcPr>
        <w:tcBorders>
          <w:top w:val="nil"/>
          <w:left w:val="nil"/>
          <w:bottom w:val="nil"/>
          <w:right w:val="nil"/>
          <w:insideH w:val="single" w:sz="4" w:space="0" w:color="456860"/>
          <w:insideV w:val="nil"/>
        </w:tcBorders>
        <w:shd w:val="clear" w:color="auto" w:fill="456860"/>
      </w:tcPr>
    </w:tblStylePr>
    <w:tblStylePr w:type="lastCol">
      <w:rPr>
        <w:color w:val="FFFFFF"/>
      </w:rPr>
      <w:tblPr/>
      <w:tcPr>
        <w:tcBorders>
          <w:top w:val="nil"/>
          <w:left w:val="nil"/>
          <w:bottom w:val="nil"/>
          <w:right w:val="nil"/>
          <w:insideH w:val="nil"/>
          <w:insideV w:val="nil"/>
        </w:tcBorders>
        <w:shd w:val="clear" w:color="auto" w:fill="456860"/>
      </w:tcPr>
    </w:tblStylePr>
    <w:tblStylePr w:type="band1Vert">
      <w:tblPr/>
      <w:tcPr>
        <w:shd w:val="clear" w:color="auto" w:fill="CADBD7"/>
      </w:tcPr>
    </w:tblStylePr>
    <w:tblStylePr w:type="band1Horz">
      <w:tblPr/>
      <w:tcPr>
        <w:shd w:val="clear" w:color="auto" w:fill="BDD3CE"/>
      </w:tcPr>
    </w:tblStylePr>
    <w:tblStylePr w:type="neCell">
      <w:rPr>
        <w:color w:val="000000"/>
      </w:rPr>
    </w:tblStylePr>
    <w:tblStylePr w:type="nwCell">
      <w:rPr>
        <w:color w:val="000000"/>
      </w:rPr>
    </w:tblStylePr>
  </w:style>
  <w:style w:type="table" w:customStyle="1" w:styleId="Sombreadovistoso-nfasis61">
    <w:name w:val="Sombreado vistoso - Énfasis 61"/>
    <w:basedOn w:val="TableNormal"/>
    <w:next w:val="ColorfulShading-Accent6"/>
    <w:uiPriority w:val="71"/>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24" w:space="0" w:color="7BA79D"/>
        <w:left w:val="single" w:sz="4" w:space="0" w:color="968C8C"/>
        <w:bottom w:val="single" w:sz="4" w:space="0" w:color="968C8C"/>
        <w:right w:val="single" w:sz="4" w:space="0" w:color="968C8C"/>
        <w:insideH w:val="single" w:sz="4" w:space="0" w:color="FFFFFF"/>
        <w:insideV w:val="single" w:sz="4" w:space="0" w:color="FFFFFF"/>
      </w:tblBorders>
    </w:tblPr>
    <w:tcPr>
      <w:shd w:val="clear" w:color="auto" w:fill="F4F3F3"/>
    </w:tcPr>
    <w:tblStylePr w:type="firstRow">
      <w:rPr>
        <w:b/>
        <w:bCs/>
      </w:rPr>
      <w:tblPr/>
      <w:tcPr>
        <w:tcBorders>
          <w:top w:val="nil"/>
          <w:left w:val="nil"/>
          <w:bottom w:val="single" w:sz="24" w:space="0" w:color="7BA79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353"/>
      </w:tcPr>
    </w:tblStylePr>
    <w:tblStylePr w:type="firstCol">
      <w:rPr>
        <w:color w:val="FFFFFF"/>
      </w:rPr>
      <w:tblPr/>
      <w:tcPr>
        <w:tcBorders>
          <w:top w:val="nil"/>
          <w:left w:val="nil"/>
          <w:bottom w:val="nil"/>
          <w:right w:val="nil"/>
          <w:insideH w:val="single" w:sz="4" w:space="0" w:color="5A5353"/>
          <w:insideV w:val="nil"/>
        </w:tcBorders>
        <w:shd w:val="clear" w:color="auto" w:fill="5A5353"/>
      </w:tcPr>
    </w:tblStylePr>
    <w:tblStylePr w:type="lastCol">
      <w:rPr>
        <w:color w:val="FFFFFF"/>
      </w:rPr>
      <w:tblPr/>
      <w:tcPr>
        <w:tcBorders>
          <w:top w:val="nil"/>
          <w:left w:val="nil"/>
          <w:bottom w:val="nil"/>
          <w:right w:val="nil"/>
          <w:insideH w:val="nil"/>
          <w:insideV w:val="nil"/>
        </w:tcBorders>
        <w:shd w:val="clear" w:color="auto" w:fill="5A5353"/>
      </w:tcPr>
    </w:tblStylePr>
    <w:tblStylePr w:type="band1Vert">
      <w:tblPr/>
      <w:tcPr>
        <w:shd w:val="clear" w:color="auto" w:fill="D5D1D1"/>
      </w:tcPr>
    </w:tblStylePr>
    <w:tblStylePr w:type="band1Horz">
      <w:tblPr/>
      <w:tcPr>
        <w:shd w:val="clear" w:color="auto" w:fill="CAC5C5"/>
      </w:tcPr>
    </w:tblStylePr>
    <w:tblStylePr w:type="neCell">
      <w:rPr>
        <w:color w:val="000000"/>
      </w:rPr>
    </w:tblStylePr>
    <w:tblStylePr w:type="nwCell">
      <w:rPr>
        <w:color w:val="000000"/>
      </w:rPr>
    </w:tblStylePr>
  </w:style>
  <w:style w:type="table" w:customStyle="1" w:styleId="Cuadrculavistosa1">
    <w:name w:val="Cuadrícula vistosa1"/>
    <w:basedOn w:val="TableNormal"/>
    <w:next w:val="ColorfulGrid"/>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uadrculavistosa-nfasis11">
    <w:name w:val="Cuadrícula vistosa - Énfasis 11"/>
    <w:basedOn w:val="TableNormal"/>
    <w:next w:val="ColorfulGrid-Accent1"/>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9F0F6"/>
    </w:tcPr>
    <w:tblStylePr w:type="firstRow">
      <w:rPr>
        <w:b/>
        <w:bCs/>
      </w:rPr>
      <w:tblPr/>
      <w:tcPr>
        <w:shd w:val="clear" w:color="auto" w:fill="D4E1ED"/>
      </w:tcPr>
    </w:tblStylePr>
    <w:tblStylePr w:type="lastRow">
      <w:rPr>
        <w:b/>
        <w:bCs/>
        <w:color w:val="000000"/>
      </w:rPr>
      <w:tblPr/>
      <w:tcPr>
        <w:shd w:val="clear" w:color="auto" w:fill="D4E1ED"/>
      </w:tcPr>
    </w:tblStylePr>
    <w:tblStylePr w:type="firstCol">
      <w:rPr>
        <w:color w:val="FFFFFF"/>
      </w:rPr>
      <w:tblPr/>
      <w:tcPr>
        <w:shd w:val="clear" w:color="auto" w:fill="548AB7"/>
      </w:tcPr>
    </w:tblStylePr>
    <w:tblStylePr w:type="lastCol">
      <w:rPr>
        <w:color w:val="FFFFFF"/>
      </w:rPr>
      <w:tblPr/>
      <w:tcPr>
        <w:shd w:val="clear" w:color="auto" w:fill="548AB7"/>
      </w:tcPr>
    </w:tblStylePr>
    <w:tblStylePr w:type="band1Vert">
      <w:tblPr/>
      <w:tcPr>
        <w:shd w:val="clear" w:color="auto" w:fill="C9DAE8"/>
      </w:tcPr>
    </w:tblStylePr>
    <w:tblStylePr w:type="band1Horz">
      <w:tblPr/>
      <w:tcPr>
        <w:shd w:val="clear" w:color="auto" w:fill="C9DAE8"/>
      </w:tcPr>
    </w:tblStylePr>
  </w:style>
  <w:style w:type="table" w:customStyle="1" w:styleId="Cuadrculavistosa-nfasis21">
    <w:name w:val="Cuadrícula vistosa - Énfasis 21"/>
    <w:basedOn w:val="TableNormal"/>
    <w:next w:val="ColorfulGrid-Accent2"/>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F8E5DA"/>
    </w:tcPr>
    <w:tblStylePr w:type="firstRow">
      <w:rPr>
        <w:b/>
        <w:bCs/>
      </w:rPr>
      <w:tblPr/>
      <w:tcPr>
        <w:shd w:val="clear" w:color="auto" w:fill="F1CBB5"/>
      </w:tcPr>
    </w:tblStylePr>
    <w:tblStylePr w:type="lastRow">
      <w:rPr>
        <w:b/>
        <w:bCs/>
        <w:color w:val="000000"/>
      </w:rPr>
      <w:tblPr/>
      <w:tcPr>
        <w:shd w:val="clear" w:color="auto" w:fill="F1CBB5"/>
      </w:tcPr>
    </w:tblStylePr>
    <w:tblStylePr w:type="firstCol">
      <w:rPr>
        <w:color w:val="FFFFFF"/>
      </w:rPr>
      <w:tblPr/>
      <w:tcPr>
        <w:shd w:val="clear" w:color="auto" w:fill="B85A22"/>
      </w:tcPr>
    </w:tblStylePr>
    <w:tblStylePr w:type="lastCol">
      <w:rPr>
        <w:color w:val="FFFFFF"/>
      </w:rPr>
      <w:tblPr/>
      <w:tcPr>
        <w:shd w:val="clear" w:color="auto" w:fill="B85A22"/>
      </w:tcPr>
    </w:tblStylePr>
    <w:tblStylePr w:type="band1Vert">
      <w:tblPr/>
      <w:tcPr>
        <w:shd w:val="clear" w:color="auto" w:fill="EEBFA3"/>
      </w:tcPr>
    </w:tblStylePr>
    <w:tblStylePr w:type="band1Horz">
      <w:tblPr/>
      <w:tcPr>
        <w:shd w:val="clear" w:color="auto" w:fill="EEBFA3"/>
      </w:tcPr>
    </w:tblStylePr>
  </w:style>
  <w:style w:type="table" w:customStyle="1" w:styleId="Cuadrculavistosa-nfasis31">
    <w:name w:val="Cuadrícula vistosa - Énfasis 31"/>
    <w:basedOn w:val="TableNormal"/>
    <w:next w:val="ColorfulGrid-Accent3"/>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DEEE5"/>
    </w:tcPr>
    <w:tblStylePr w:type="firstRow">
      <w:rPr>
        <w:b/>
        <w:bCs/>
      </w:rPr>
      <w:tblPr/>
      <w:tcPr>
        <w:shd w:val="clear" w:color="auto" w:fill="DBDDCC"/>
      </w:tcPr>
    </w:tblStylePr>
    <w:tblStylePr w:type="lastRow">
      <w:rPr>
        <w:b/>
        <w:bCs/>
        <w:color w:val="000000"/>
      </w:rPr>
      <w:tblPr/>
      <w:tcPr>
        <w:shd w:val="clear" w:color="auto" w:fill="DBDDCC"/>
      </w:tcPr>
    </w:tblStylePr>
    <w:tblStylePr w:type="firstCol">
      <w:rPr>
        <w:color w:val="FFFFFF"/>
      </w:rPr>
      <w:tblPr/>
      <w:tcPr>
        <w:shd w:val="clear" w:color="auto" w:fill="80865A"/>
      </w:tcPr>
    </w:tblStylePr>
    <w:tblStylePr w:type="lastCol">
      <w:rPr>
        <w:color w:val="FFFFFF"/>
      </w:rPr>
      <w:tblPr/>
      <w:tcPr>
        <w:shd w:val="clear" w:color="auto" w:fill="80865A"/>
      </w:tcPr>
    </w:tblStylePr>
    <w:tblStylePr w:type="band1Vert">
      <w:tblPr/>
      <w:tcPr>
        <w:shd w:val="clear" w:color="auto" w:fill="D2D5C0"/>
      </w:tcPr>
    </w:tblStylePr>
    <w:tblStylePr w:type="band1Horz">
      <w:tblPr/>
      <w:tcPr>
        <w:shd w:val="clear" w:color="auto" w:fill="D2D5C0"/>
      </w:tcPr>
    </w:tblStylePr>
  </w:style>
  <w:style w:type="table" w:customStyle="1" w:styleId="Cuadrculavistosa-nfasis41">
    <w:name w:val="Cuadrícula vistosa - Énfasis 41"/>
    <w:basedOn w:val="TableNormal"/>
    <w:next w:val="ColorfulGrid-Accent4"/>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F7EFDE"/>
    </w:tcPr>
    <w:tblStylePr w:type="firstRow">
      <w:rPr>
        <w:b/>
        <w:bCs/>
      </w:rPr>
      <w:tblPr/>
      <w:tcPr>
        <w:shd w:val="clear" w:color="auto" w:fill="EFE0BD"/>
      </w:tcPr>
    </w:tblStylePr>
    <w:tblStylePr w:type="lastRow">
      <w:rPr>
        <w:b/>
        <w:bCs/>
        <w:color w:val="000000"/>
      </w:rPr>
      <w:tblPr/>
      <w:tcPr>
        <w:shd w:val="clear" w:color="auto" w:fill="EFE0BD"/>
      </w:tcPr>
    </w:tblStylePr>
    <w:tblStylePr w:type="firstCol">
      <w:rPr>
        <w:color w:val="FFFFFF"/>
      </w:rPr>
      <w:tblPr/>
      <w:tcPr>
        <w:shd w:val="clear" w:color="auto" w:fill="BA8E2C"/>
      </w:tcPr>
    </w:tblStylePr>
    <w:tblStylePr w:type="lastCol">
      <w:rPr>
        <w:color w:val="FFFFFF"/>
      </w:rPr>
      <w:tblPr/>
      <w:tcPr>
        <w:shd w:val="clear" w:color="auto" w:fill="BA8E2C"/>
      </w:tcPr>
    </w:tblStylePr>
    <w:tblStylePr w:type="band1Vert">
      <w:tblPr/>
      <w:tcPr>
        <w:shd w:val="clear" w:color="auto" w:fill="EBD8AD"/>
      </w:tcPr>
    </w:tblStylePr>
    <w:tblStylePr w:type="band1Horz">
      <w:tblPr/>
      <w:tcPr>
        <w:shd w:val="clear" w:color="auto" w:fill="EBD8AD"/>
      </w:tcPr>
    </w:tblStylePr>
  </w:style>
  <w:style w:type="table" w:customStyle="1" w:styleId="Cuadrculavistosa-nfasis51">
    <w:name w:val="Cuadrícula vistosa - Énfasis 51"/>
    <w:basedOn w:val="TableNormal"/>
    <w:next w:val="ColorfulGrid-Accent5"/>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4EDEB"/>
    </w:tcPr>
    <w:tblStylePr w:type="firstRow">
      <w:rPr>
        <w:b/>
        <w:bCs/>
      </w:rPr>
      <w:tblPr/>
      <w:tcPr>
        <w:shd w:val="clear" w:color="auto" w:fill="CADBD7"/>
      </w:tcPr>
    </w:tblStylePr>
    <w:tblStylePr w:type="lastRow">
      <w:rPr>
        <w:b/>
        <w:bCs/>
        <w:color w:val="000000"/>
      </w:rPr>
      <w:tblPr/>
      <w:tcPr>
        <w:shd w:val="clear" w:color="auto" w:fill="CADBD7"/>
      </w:tcPr>
    </w:tblStylePr>
    <w:tblStylePr w:type="firstCol">
      <w:rPr>
        <w:color w:val="FFFFFF"/>
      </w:rPr>
      <w:tblPr/>
      <w:tcPr>
        <w:shd w:val="clear" w:color="auto" w:fill="568278"/>
      </w:tcPr>
    </w:tblStylePr>
    <w:tblStylePr w:type="lastCol">
      <w:rPr>
        <w:color w:val="FFFFFF"/>
      </w:rPr>
      <w:tblPr/>
      <w:tcPr>
        <w:shd w:val="clear" w:color="auto" w:fill="568278"/>
      </w:tcPr>
    </w:tblStylePr>
    <w:tblStylePr w:type="band1Vert">
      <w:tblPr/>
      <w:tcPr>
        <w:shd w:val="clear" w:color="auto" w:fill="BDD3CE"/>
      </w:tcPr>
    </w:tblStylePr>
    <w:tblStylePr w:type="band1Horz">
      <w:tblPr/>
      <w:tcPr>
        <w:shd w:val="clear" w:color="auto" w:fill="BDD3CE"/>
      </w:tcPr>
    </w:tblStylePr>
  </w:style>
  <w:style w:type="table" w:customStyle="1" w:styleId="Cuadrculavistosa-nfasis61">
    <w:name w:val="Cuadrícula vistosa - Énfasis 61"/>
    <w:basedOn w:val="TableNormal"/>
    <w:next w:val="ColorfulGrid-Accent6"/>
    <w:uiPriority w:val="73"/>
    <w:semiHidden/>
    <w:unhideWhenUsed/>
    <w:rsid w:val="0075191A"/>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AE8E8"/>
    </w:tcPr>
    <w:tblStylePr w:type="firstRow">
      <w:rPr>
        <w:b/>
        <w:bCs/>
      </w:rPr>
      <w:tblPr/>
      <w:tcPr>
        <w:shd w:val="clear" w:color="auto" w:fill="D5D1D1"/>
      </w:tcPr>
    </w:tblStylePr>
    <w:tblStylePr w:type="lastRow">
      <w:rPr>
        <w:b/>
        <w:bCs/>
        <w:color w:val="000000"/>
      </w:rPr>
      <w:tblPr/>
      <w:tcPr>
        <w:shd w:val="clear" w:color="auto" w:fill="D5D1D1"/>
      </w:tcPr>
    </w:tblStylePr>
    <w:tblStylePr w:type="firstCol">
      <w:rPr>
        <w:color w:val="FFFFFF"/>
      </w:rPr>
      <w:tblPr/>
      <w:tcPr>
        <w:shd w:val="clear" w:color="auto" w:fill="716767"/>
      </w:tcPr>
    </w:tblStylePr>
    <w:tblStylePr w:type="lastCol">
      <w:rPr>
        <w:color w:val="FFFFFF"/>
      </w:rPr>
      <w:tblPr/>
      <w:tcPr>
        <w:shd w:val="clear" w:color="auto" w:fill="716767"/>
      </w:tcPr>
    </w:tblStylePr>
    <w:tblStylePr w:type="band1Vert">
      <w:tblPr/>
      <w:tcPr>
        <w:shd w:val="clear" w:color="auto" w:fill="CAC5C5"/>
      </w:tcPr>
    </w:tblStylePr>
    <w:tblStylePr w:type="band1Horz">
      <w:tblPr/>
      <w:tcPr>
        <w:shd w:val="clear" w:color="auto" w:fill="CAC5C5"/>
      </w:tcPr>
    </w:tblStylePr>
  </w:style>
  <w:style w:type="table" w:customStyle="1" w:styleId="Tablanormal12">
    <w:name w:val="Tabla normal 12"/>
    <w:basedOn w:val="TableNormal"/>
    <w:next w:val="PlainTable1"/>
    <w:uiPriority w:val="41"/>
    <w:rsid w:val="0075191A"/>
    <w:rPr>
      <w:rFonts w:ascii="Century Gothic" w:eastAsia="Meiryo" w:hAnsi="Century Gothic" w:cs="Arial"/>
      <w:sz w:val="20"/>
      <w:szCs w:val="20"/>
      <w:lang w:val="en-US"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2">
    <w:name w:val="Tabla normal 22"/>
    <w:basedOn w:val="TableNormal"/>
    <w:next w:val="PlainTable2"/>
    <w:uiPriority w:val="42"/>
    <w:rsid w:val="0075191A"/>
    <w:rPr>
      <w:rFonts w:ascii="Century Gothic" w:eastAsia="Meiryo" w:hAnsi="Century Gothic" w:cs="Arial"/>
      <w:sz w:val="20"/>
      <w:szCs w:val="20"/>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32">
    <w:name w:val="Tabla normal 32"/>
    <w:basedOn w:val="TableNormal"/>
    <w:next w:val="PlainTable3"/>
    <w:uiPriority w:val="43"/>
    <w:rsid w:val="0075191A"/>
    <w:rPr>
      <w:rFonts w:ascii="Century Gothic" w:eastAsia="Meiryo" w:hAnsi="Century Gothic" w:cs="Arial"/>
      <w:sz w:val="20"/>
      <w:szCs w:val="20"/>
      <w:lang w:val="en-US"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42">
    <w:name w:val="Tabla normal 42"/>
    <w:basedOn w:val="TableNormal"/>
    <w:next w:val="PlainTable4"/>
    <w:uiPriority w:val="44"/>
    <w:rsid w:val="0075191A"/>
    <w:rPr>
      <w:rFonts w:ascii="Century Gothic" w:eastAsia="Meiryo" w:hAnsi="Century Gothic" w:cs="Arial"/>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52">
    <w:name w:val="Tabla normal 52"/>
    <w:basedOn w:val="TableNormal"/>
    <w:next w:val="PlainTable5"/>
    <w:uiPriority w:val="45"/>
    <w:rsid w:val="0075191A"/>
    <w:rPr>
      <w:rFonts w:ascii="Century Gothic" w:eastAsia="Meiryo" w:hAnsi="Century Gothic" w:cs="Arial"/>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7F7F7F"/>
        </w:tcBorders>
        <w:shd w:val="clear" w:color="auto" w:fill="FFFFFF"/>
      </w:tcPr>
    </w:tblStylePr>
    <w:tblStylePr w:type="lastRow">
      <w:rPr>
        <w:rFonts w:ascii="Sitka Text Semibold" w:eastAsia="NSimSun" w:hAnsi="Sitka Text Semibold" w:cs="Times New Roman"/>
        <w:i/>
        <w:iCs/>
        <w:sz w:val="26"/>
      </w:rPr>
      <w:tblPr/>
      <w:tcPr>
        <w:tcBorders>
          <w:top w:val="single" w:sz="4" w:space="0" w:color="7F7F7F"/>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7F7F7F"/>
        </w:tcBorders>
        <w:shd w:val="clear" w:color="auto" w:fill="FFFFFF"/>
      </w:tcPr>
    </w:tblStylePr>
    <w:tblStylePr w:type="lastCol">
      <w:rPr>
        <w:rFonts w:ascii="Sitka Text Semibold" w:eastAsia="NSimSun" w:hAnsi="Sitka Text Semibol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moderna1">
    <w:name w:val="Tabla moderna1"/>
    <w:basedOn w:val="TableNormal"/>
    <w:next w:val="TableContemporary"/>
    <w:uiPriority w:val="99"/>
    <w:semiHidden/>
    <w:unhideWhenUsed/>
    <w:rsid w:val="0075191A"/>
    <w:rPr>
      <w:rFonts w:ascii="Century Gothic" w:eastAsia="Meiryo" w:hAnsi="Century Gothic" w:cs="Arial"/>
      <w:sz w:val="20"/>
      <w:szCs w:val="20"/>
      <w:lang w:val="en-US"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staclara1">
    <w:name w:val="Lista clara1"/>
    <w:basedOn w:val="TableNormal"/>
    <w:next w:val="LightList"/>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
    <w:name w:val="Lista clara - Énfasis 11"/>
    <w:basedOn w:val="TableNormal"/>
    <w:next w:val="LightList-Accent1"/>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pPr>
        <w:spacing w:before="0" w:after="0" w:line="240" w:lineRule="auto"/>
      </w:pPr>
      <w:rPr>
        <w:b/>
        <w:bCs/>
        <w:color w:val="FFFFFF"/>
      </w:rPr>
      <w:tblPr/>
      <w:tcPr>
        <w:shd w:val="clear" w:color="auto" w:fill="94B6D2"/>
      </w:tcPr>
    </w:tblStylePr>
    <w:tblStylePr w:type="lastRow">
      <w:pPr>
        <w:spacing w:before="0" w:after="0" w:line="240" w:lineRule="auto"/>
      </w:pPr>
      <w:rPr>
        <w:b/>
        <w:bCs/>
      </w:rPr>
      <w:tblPr/>
      <w:tcPr>
        <w:tcBorders>
          <w:top w:val="double" w:sz="6" w:space="0" w:color="94B6D2"/>
          <w:left w:val="single" w:sz="8" w:space="0" w:color="94B6D2"/>
          <w:bottom w:val="single" w:sz="8" w:space="0" w:color="94B6D2"/>
          <w:right w:val="single" w:sz="8" w:space="0" w:color="94B6D2"/>
        </w:tcBorders>
      </w:tcPr>
    </w:tblStylePr>
    <w:tblStylePr w:type="firstCol">
      <w:rPr>
        <w:b/>
        <w:bCs/>
      </w:rPr>
    </w:tblStylePr>
    <w:tblStylePr w:type="lastCol">
      <w:rPr>
        <w:b/>
        <w:bCs/>
      </w:rPr>
    </w:tblStylePr>
    <w:tblStylePr w:type="band1Vert">
      <w:tblPr/>
      <w:tcPr>
        <w:tcBorders>
          <w:top w:val="single" w:sz="8" w:space="0" w:color="94B6D2"/>
          <w:left w:val="single" w:sz="8" w:space="0" w:color="94B6D2"/>
          <w:bottom w:val="single" w:sz="8" w:space="0" w:color="94B6D2"/>
          <w:right w:val="single" w:sz="8" w:space="0" w:color="94B6D2"/>
        </w:tcBorders>
      </w:tcPr>
    </w:tblStylePr>
    <w:tblStylePr w:type="band1Horz">
      <w:tblPr/>
      <w:tcPr>
        <w:tcBorders>
          <w:top w:val="single" w:sz="8" w:space="0" w:color="94B6D2"/>
          <w:left w:val="single" w:sz="8" w:space="0" w:color="94B6D2"/>
          <w:bottom w:val="single" w:sz="8" w:space="0" w:color="94B6D2"/>
          <w:right w:val="single" w:sz="8" w:space="0" w:color="94B6D2"/>
        </w:tcBorders>
      </w:tcPr>
    </w:tblStylePr>
  </w:style>
  <w:style w:type="table" w:customStyle="1" w:styleId="Listaclara-nfasis21">
    <w:name w:val="Lista clara - Énfasis 21"/>
    <w:basedOn w:val="TableNormal"/>
    <w:next w:val="LightList-Accent2"/>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pPr>
        <w:spacing w:before="0" w:after="0" w:line="240" w:lineRule="auto"/>
      </w:pPr>
      <w:rPr>
        <w:b/>
        <w:bCs/>
        <w:color w:val="FFFFFF"/>
      </w:rPr>
      <w:tblPr/>
      <w:tcPr>
        <w:shd w:val="clear" w:color="auto" w:fill="DD8047"/>
      </w:tcPr>
    </w:tblStylePr>
    <w:tblStylePr w:type="lastRow">
      <w:pPr>
        <w:spacing w:before="0" w:after="0" w:line="240" w:lineRule="auto"/>
      </w:pPr>
      <w:rPr>
        <w:b/>
        <w:bCs/>
      </w:rPr>
      <w:tblPr/>
      <w:tcPr>
        <w:tcBorders>
          <w:top w:val="double" w:sz="6" w:space="0" w:color="DD8047"/>
          <w:left w:val="single" w:sz="8" w:space="0" w:color="DD8047"/>
          <w:bottom w:val="single" w:sz="8" w:space="0" w:color="DD8047"/>
          <w:right w:val="single" w:sz="8" w:space="0" w:color="DD8047"/>
        </w:tcBorders>
      </w:tcPr>
    </w:tblStylePr>
    <w:tblStylePr w:type="firstCol">
      <w:rPr>
        <w:b/>
        <w:bCs/>
      </w:rPr>
    </w:tblStylePr>
    <w:tblStylePr w:type="lastCol">
      <w:rPr>
        <w:b/>
        <w:bCs/>
      </w:rPr>
    </w:tblStylePr>
    <w:tblStylePr w:type="band1Vert">
      <w:tblPr/>
      <w:tcPr>
        <w:tcBorders>
          <w:top w:val="single" w:sz="8" w:space="0" w:color="DD8047"/>
          <w:left w:val="single" w:sz="8" w:space="0" w:color="DD8047"/>
          <w:bottom w:val="single" w:sz="8" w:space="0" w:color="DD8047"/>
          <w:right w:val="single" w:sz="8" w:space="0" w:color="DD8047"/>
        </w:tcBorders>
      </w:tcPr>
    </w:tblStylePr>
    <w:tblStylePr w:type="band1Horz">
      <w:tblPr/>
      <w:tcPr>
        <w:tcBorders>
          <w:top w:val="single" w:sz="8" w:space="0" w:color="DD8047"/>
          <w:left w:val="single" w:sz="8" w:space="0" w:color="DD8047"/>
          <w:bottom w:val="single" w:sz="8" w:space="0" w:color="DD8047"/>
          <w:right w:val="single" w:sz="8" w:space="0" w:color="DD8047"/>
        </w:tcBorders>
      </w:tcPr>
    </w:tblStylePr>
  </w:style>
  <w:style w:type="table" w:customStyle="1" w:styleId="Listaclara-nfasis31">
    <w:name w:val="Lista clara - Énfasis 31"/>
    <w:basedOn w:val="TableNormal"/>
    <w:next w:val="LightList-Accent3"/>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pPr>
        <w:spacing w:before="0" w:after="0" w:line="240" w:lineRule="auto"/>
      </w:pPr>
      <w:rPr>
        <w:b/>
        <w:bCs/>
        <w:color w:val="FFFFFF"/>
      </w:rPr>
      <w:tblPr/>
      <w:tcPr>
        <w:shd w:val="clear" w:color="auto" w:fill="A5AB81"/>
      </w:tcPr>
    </w:tblStylePr>
    <w:tblStylePr w:type="lastRow">
      <w:pPr>
        <w:spacing w:before="0" w:after="0" w:line="240" w:lineRule="auto"/>
      </w:pPr>
      <w:rPr>
        <w:b/>
        <w:bCs/>
      </w:rPr>
      <w:tblPr/>
      <w:tcPr>
        <w:tcBorders>
          <w:top w:val="double" w:sz="6" w:space="0" w:color="A5AB81"/>
          <w:left w:val="single" w:sz="8" w:space="0" w:color="A5AB81"/>
          <w:bottom w:val="single" w:sz="8" w:space="0" w:color="A5AB81"/>
          <w:right w:val="single" w:sz="8" w:space="0" w:color="A5AB81"/>
        </w:tcBorders>
      </w:tcPr>
    </w:tblStylePr>
    <w:tblStylePr w:type="firstCol">
      <w:rPr>
        <w:b/>
        <w:bCs/>
      </w:rPr>
    </w:tblStylePr>
    <w:tblStylePr w:type="lastCol">
      <w:rPr>
        <w:b/>
        <w:bCs/>
      </w:rPr>
    </w:tblStylePr>
    <w:tblStylePr w:type="band1Vert">
      <w:tblPr/>
      <w:tcPr>
        <w:tcBorders>
          <w:top w:val="single" w:sz="8" w:space="0" w:color="A5AB81"/>
          <w:left w:val="single" w:sz="8" w:space="0" w:color="A5AB81"/>
          <w:bottom w:val="single" w:sz="8" w:space="0" w:color="A5AB81"/>
          <w:right w:val="single" w:sz="8" w:space="0" w:color="A5AB81"/>
        </w:tcBorders>
      </w:tcPr>
    </w:tblStylePr>
    <w:tblStylePr w:type="band1Horz">
      <w:tblPr/>
      <w:tcPr>
        <w:tcBorders>
          <w:top w:val="single" w:sz="8" w:space="0" w:color="A5AB81"/>
          <w:left w:val="single" w:sz="8" w:space="0" w:color="A5AB81"/>
          <w:bottom w:val="single" w:sz="8" w:space="0" w:color="A5AB81"/>
          <w:right w:val="single" w:sz="8" w:space="0" w:color="A5AB81"/>
        </w:tcBorders>
      </w:tcPr>
    </w:tblStylePr>
  </w:style>
  <w:style w:type="table" w:customStyle="1" w:styleId="Listaclara-nfasis41">
    <w:name w:val="Lista clara - Énfasis 41"/>
    <w:basedOn w:val="TableNormal"/>
    <w:next w:val="LightList-Accent4"/>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pPr>
        <w:spacing w:before="0" w:after="0" w:line="240" w:lineRule="auto"/>
      </w:pPr>
      <w:rPr>
        <w:b/>
        <w:bCs/>
        <w:color w:val="FFFFFF"/>
      </w:rPr>
      <w:tblPr/>
      <w:tcPr>
        <w:shd w:val="clear" w:color="auto" w:fill="D8B25C"/>
      </w:tcPr>
    </w:tblStylePr>
    <w:tblStylePr w:type="lastRow">
      <w:pPr>
        <w:spacing w:before="0" w:after="0" w:line="240" w:lineRule="auto"/>
      </w:pPr>
      <w:rPr>
        <w:b/>
        <w:bCs/>
      </w:rPr>
      <w:tblPr/>
      <w:tcPr>
        <w:tcBorders>
          <w:top w:val="double" w:sz="6" w:space="0" w:color="D8B25C"/>
          <w:left w:val="single" w:sz="8" w:space="0" w:color="D8B25C"/>
          <w:bottom w:val="single" w:sz="8" w:space="0" w:color="D8B25C"/>
          <w:right w:val="single" w:sz="8" w:space="0" w:color="D8B25C"/>
        </w:tcBorders>
      </w:tcPr>
    </w:tblStylePr>
    <w:tblStylePr w:type="firstCol">
      <w:rPr>
        <w:b/>
        <w:bCs/>
      </w:rPr>
    </w:tblStylePr>
    <w:tblStylePr w:type="lastCol">
      <w:rPr>
        <w:b/>
        <w:bCs/>
      </w:rPr>
    </w:tblStylePr>
    <w:tblStylePr w:type="band1Vert">
      <w:tblPr/>
      <w:tcPr>
        <w:tcBorders>
          <w:top w:val="single" w:sz="8" w:space="0" w:color="D8B25C"/>
          <w:left w:val="single" w:sz="8" w:space="0" w:color="D8B25C"/>
          <w:bottom w:val="single" w:sz="8" w:space="0" w:color="D8B25C"/>
          <w:right w:val="single" w:sz="8" w:space="0" w:color="D8B25C"/>
        </w:tcBorders>
      </w:tcPr>
    </w:tblStylePr>
    <w:tblStylePr w:type="band1Horz">
      <w:tblPr/>
      <w:tcPr>
        <w:tcBorders>
          <w:top w:val="single" w:sz="8" w:space="0" w:color="D8B25C"/>
          <w:left w:val="single" w:sz="8" w:space="0" w:color="D8B25C"/>
          <w:bottom w:val="single" w:sz="8" w:space="0" w:color="D8B25C"/>
          <w:right w:val="single" w:sz="8" w:space="0" w:color="D8B25C"/>
        </w:tcBorders>
      </w:tcPr>
    </w:tblStylePr>
  </w:style>
  <w:style w:type="table" w:customStyle="1" w:styleId="Listaclara-nfasis51">
    <w:name w:val="Lista clara - Énfasis 51"/>
    <w:basedOn w:val="TableNormal"/>
    <w:next w:val="LightList-Accent5"/>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pPr>
        <w:spacing w:before="0" w:after="0" w:line="240" w:lineRule="auto"/>
      </w:pPr>
      <w:rPr>
        <w:b/>
        <w:bCs/>
        <w:color w:val="FFFFFF"/>
      </w:rPr>
      <w:tblPr/>
      <w:tcPr>
        <w:shd w:val="clear" w:color="auto" w:fill="7BA79D"/>
      </w:tcPr>
    </w:tblStylePr>
    <w:tblStylePr w:type="lastRow">
      <w:pPr>
        <w:spacing w:before="0" w:after="0" w:line="240" w:lineRule="auto"/>
      </w:pPr>
      <w:rPr>
        <w:b/>
        <w:bCs/>
      </w:rPr>
      <w:tblPr/>
      <w:tcPr>
        <w:tcBorders>
          <w:top w:val="double" w:sz="6" w:space="0" w:color="7BA79D"/>
          <w:left w:val="single" w:sz="8" w:space="0" w:color="7BA79D"/>
          <w:bottom w:val="single" w:sz="8" w:space="0" w:color="7BA79D"/>
          <w:right w:val="single" w:sz="8" w:space="0" w:color="7BA79D"/>
        </w:tcBorders>
      </w:tcPr>
    </w:tblStylePr>
    <w:tblStylePr w:type="firstCol">
      <w:rPr>
        <w:b/>
        <w:bCs/>
      </w:rPr>
    </w:tblStylePr>
    <w:tblStylePr w:type="lastCol">
      <w:rPr>
        <w:b/>
        <w:bCs/>
      </w:rPr>
    </w:tblStylePr>
    <w:tblStylePr w:type="band1Vert">
      <w:tblPr/>
      <w:tcPr>
        <w:tcBorders>
          <w:top w:val="single" w:sz="8" w:space="0" w:color="7BA79D"/>
          <w:left w:val="single" w:sz="8" w:space="0" w:color="7BA79D"/>
          <w:bottom w:val="single" w:sz="8" w:space="0" w:color="7BA79D"/>
          <w:right w:val="single" w:sz="8" w:space="0" w:color="7BA79D"/>
        </w:tcBorders>
      </w:tcPr>
    </w:tblStylePr>
    <w:tblStylePr w:type="band1Horz">
      <w:tblPr/>
      <w:tcPr>
        <w:tcBorders>
          <w:top w:val="single" w:sz="8" w:space="0" w:color="7BA79D"/>
          <w:left w:val="single" w:sz="8" w:space="0" w:color="7BA79D"/>
          <w:bottom w:val="single" w:sz="8" w:space="0" w:color="7BA79D"/>
          <w:right w:val="single" w:sz="8" w:space="0" w:color="7BA79D"/>
        </w:tcBorders>
      </w:tcPr>
    </w:tblStylePr>
  </w:style>
  <w:style w:type="table" w:customStyle="1" w:styleId="Listaclara-nfasis61">
    <w:name w:val="Lista clara - Énfasis 61"/>
    <w:basedOn w:val="TableNormal"/>
    <w:next w:val="LightList-Accent6"/>
    <w:uiPriority w:val="61"/>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pPr>
        <w:spacing w:before="0" w:after="0" w:line="240" w:lineRule="auto"/>
      </w:pPr>
      <w:rPr>
        <w:b/>
        <w:bCs/>
        <w:color w:val="FFFFFF"/>
      </w:rPr>
      <w:tblPr/>
      <w:tcPr>
        <w:shd w:val="clear" w:color="auto" w:fill="968C8C"/>
      </w:tcPr>
    </w:tblStylePr>
    <w:tblStylePr w:type="lastRow">
      <w:pPr>
        <w:spacing w:before="0" w:after="0" w:line="240" w:lineRule="auto"/>
      </w:pPr>
      <w:rPr>
        <w:b/>
        <w:bCs/>
      </w:rPr>
      <w:tblPr/>
      <w:tcPr>
        <w:tcBorders>
          <w:top w:val="double" w:sz="6" w:space="0" w:color="968C8C"/>
          <w:left w:val="single" w:sz="8" w:space="0" w:color="968C8C"/>
          <w:bottom w:val="single" w:sz="8" w:space="0" w:color="968C8C"/>
          <w:right w:val="single" w:sz="8" w:space="0" w:color="968C8C"/>
        </w:tcBorders>
      </w:tcPr>
    </w:tblStylePr>
    <w:tblStylePr w:type="firstCol">
      <w:rPr>
        <w:b/>
        <w:bCs/>
      </w:rPr>
    </w:tblStylePr>
    <w:tblStylePr w:type="lastCol">
      <w:rPr>
        <w:b/>
        <w:bCs/>
      </w:rPr>
    </w:tblStylePr>
    <w:tblStylePr w:type="band1Vert">
      <w:tblPr/>
      <w:tcPr>
        <w:tcBorders>
          <w:top w:val="single" w:sz="8" w:space="0" w:color="968C8C"/>
          <w:left w:val="single" w:sz="8" w:space="0" w:color="968C8C"/>
          <w:bottom w:val="single" w:sz="8" w:space="0" w:color="968C8C"/>
          <w:right w:val="single" w:sz="8" w:space="0" w:color="968C8C"/>
        </w:tcBorders>
      </w:tcPr>
    </w:tblStylePr>
    <w:tblStylePr w:type="band1Horz">
      <w:tblPr/>
      <w:tcPr>
        <w:tcBorders>
          <w:top w:val="single" w:sz="8" w:space="0" w:color="968C8C"/>
          <w:left w:val="single" w:sz="8" w:space="0" w:color="968C8C"/>
          <w:bottom w:val="single" w:sz="8" w:space="0" w:color="968C8C"/>
          <w:right w:val="single" w:sz="8" w:space="0" w:color="968C8C"/>
        </w:tcBorders>
      </w:tcPr>
    </w:tblStylePr>
  </w:style>
  <w:style w:type="table" w:customStyle="1" w:styleId="Sombreadoclaro1">
    <w:name w:val="Sombreado claro1"/>
    <w:basedOn w:val="TableNormal"/>
    <w:next w:val="LightShading"/>
    <w:uiPriority w:val="60"/>
    <w:semiHidden/>
    <w:unhideWhenUsed/>
    <w:rsid w:val="0075191A"/>
    <w:rPr>
      <w:rFonts w:ascii="Century Gothic" w:eastAsia="Meiryo" w:hAnsi="Century Gothic" w:cs="Arial"/>
      <w:color w:val="000000"/>
      <w:sz w:val="20"/>
      <w:szCs w:val="20"/>
      <w:lang w:val="en-US"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eNormal"/>
    <w:next w:val="LightShading-Accent1"/>
    <w:uiPriority w:val="60"/>
    <w:semiHidden/>
    <w:unhideWhenUsed/>
    <w:rsid w:val="0075191A"/>
    <w:rPr>
      <w:rFonts w:ascii="Century Gothic" w:eastAsia="Meiryo" w:hAnsi="Century Gothic" w:cs="Arial"/>
      <w:color w:val="548AB7"/>
      <w:sz w:val="20"/>
      <w:szCs w:val="20"/>
      <w:lang w:val="en-US" w:eastAsia="zh-CN"/>
    </w:rPr>
    <w:tblPr>
      <w:tblStyleRowBandSize w:val="1"/>
      <w:tblStyleColBandSize w:val="1"/>
      <w:tblBorders>
        <w:top w:val="single" w:sz="8" w:space="0" w:color="94B6D2"/>
        <w:bottom w:val="single" w:sz="8" w:space="0" w:color="94B6D2"/>
      </w:tblBorders>
    </w:tblPr>
    <w:tblStylePr w:type="fir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la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cPr>
    </w:tblStylePr>
    <w:tblStylePr w:type="band1Horz">
      <w:tblPr/>
      <w:tcPr>
        <w:tcBorders>
          <w:left w:val="nil"/>
          <w:right w:val="nil"/>
          <w:insideH w:val="nil"/>
          <w:insideV w:val="nil"/>
        </w:tcBorders>
        <w:shd w:val="clear" w:color="auto" w:fill="E4ECF4"/>
      </w:tcPr>
    </w:tblStylePr>
  </w:style>
  <w:style w:type="table" w:customStyle="1" w:styleId="Sombreadoclaro-nfasis21">
    <w:name w:val="Sombreado claro - Énfasis 21"/>
    <w:basedOn w:val="TableNormal"/>
    <w:next w:val="LightShading-Accent2"/>
    <w:uiPriority w:val="60"/>
    <w:semiHidden/>
    <w:unhideWhenUsed/>
    <w:rsid w:val="0075191A"/>
    <w:rPr>
      <w:rFonts w:ascii="Century Gothic" w:eastAsia="Meiryo" w:hAnsi="Century Gothic" w:cs="Arial"/>
      <w:color w:val="B85A22"/>
      <w:sz w:val="20"/>
      <w:szCs w:val="20"/>
      <w:lang w:val="en-US" w:eastAsia="zh-CN"/>
    </w:rPr>
    <w:tblPr>
      <w:tblStyleRowBandSize w:val="1"/>
      <w:tblStyleColBandSize w:val="1"/>
      <w:tblBorders>
        <w:top w:val="single" w:sz="8" w:space="0" w:color="DD8047"/>
        <w:bottom w:val="single" w:sz="8" w:space="0" w:color="DD8047"/>
      </w:tblBorders>
    </w:tblPr>
    <w:tblStylePr w:type="fir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la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cPr>
    </w:tblStylePr>
    <w:tblStylePr w:type="band1Horz">
      <w:tblPr/>
      <w:tcPr>
        <w:tcBorders>
          <w:left w:val="nil"/>
          <w:right w:val="nil"/>
          <w:insideH w:val="nil"/>
          <w:insideV w:val="nil"/>
        </w:tcBorders>
        <w:shd w:val="clear" w:color="auto" w:fill="F6DFD1"/>
      </w:tcPr>
    </w:tblStylePr>
  </w:style>
  <w:style w:type="table" w:customStyle="1" w:styleId="Sombreadoclaro-nfasis31">
    <w:name w:val="Sombreado claro - Énfasis 31"/>
    <w:basedOn w:val="TableNormal"/>
    <w:next w:val="LightShading-Accent3"/>
    <w:uiPriority w:val="60"/>
    <w:semiHidden/>
    <w:unhideWhenUsed/>
    <w:rsid w:val="0075191A"/>
    <w:rPr>
      <w:rFonts w:ascii="Century Gothic" w:eastAsia="Meiryo" w:hAnsi="Century Gothic" w:cs="Arial"/>
      <w:color w:val="80865A"/>
      <w:sz w:val="20"/>
      <w:szCs w:val="20"/>
      <w:lang w:val="en-US" w:eastAsia="zh-CN"/>
    </w:rPr>
    <w:tblPr>
      <w:tblStyleRowBandSize w:val="1"/>
      <w:tblStyleColBandSize w:val="1"/>
      <w:tblBorders>
        <w:top w:val="single" w:sz="8" w:space="0" w:color="A5AB81"/>
        <w:bottom w:val="single" w:sz="8" w:space="0" w:color="A5AB81"/>
      </w:tblBorders>
    </w:tblPr>
    <w:tblStylePr w:type="fir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la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cPr>
    </w:tblStylePr>
    <w:tblStylePr w:type="band1Horz">
      <w:tblPr/>
      <w:tcPr>
        <w:tcBorders>
          <w:left w:val="nil"/>
          <w:right w:val="nil"/>
          <w:insideH w:val="nil"/>
          <w:insideV w:val="nil"/>
        </w:tcBorders>
        <w:shd w:val="clear" w:color="auto" w:fill="E8EADF"/>
      </w:tcPr>
    </w:tblStylePr>
  </w:style>
  <w:style w:type="table" w:customStyle="1" w:styleId="Sombreadoclaro-nfasis41">
    <w:name w:val="Sombreado claro - Énfasis 41"/>
    <w:basedOn w:val="TableNormal"/>
    <w:next w:val="LightShading-Accent4"/>
    <w:uiPriority w:val="60"/>
    <w:semiHidden/>
    <w:unhideWhenUsed/>
    <w:rsid w:val="0075191A"/>
    <w:rPr>
      <w:rFonts w:ascii="Century Gothic" w:eastAsia="Meiryo" w:hAnsi="Century Gothic" w:cs="Arial"/>
      <w:color w:val="BA8E2C"/>
      <w:sz w:val="20"/>
      <w:szCs w:val="20"/>
      <w:lang w:val="en-US" w:eastAsia="zh-CN"/>
    </w:rPr>
    <w:tblPr>
      <w:tblStyleRowBandSize w:val="1"/>
      <w:tblStyleColBandSize w:val="1"/>
      <w:tblBorders>
        <w:top w:val="single" w:sz="8" w:space="0" w:color="D8B25C"/>
        <w:bottom w:val="single" w:sz="8" w:space="0" w:color="D8B25C"/>
      </w:tblBorders>
    </w:tblPr>
    <w:tblStylePr w:type="fir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la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cPr>
    </w:tblStylePr>
    <w:tblStylePr w:type="band1Horz">
      <w:tblPr/>
      <w:tcPr>
        <w:tcBorders>
          <w:left w:val="nil"/>
          <w:right w:val="nil"/>
          <w:insideH w:val="nil"/>
          <w:insideV w:val="nil"/>
        </w:tcBorders>
        <w:shd w:val="clear" w:color="auto" w:fill="F5EBD6"/>
      </w:tcPr>
    </w:tblStylePr>
  </w:style>
  <w:style w:type="table" w:customStyle="1" w:styleId="Sombreadoclaro-nfasis51">
    <w:name w:val="Sombreado claro - Énfasis 51"/>
    <w:basedOn w:val="TableNormal"/>
    <w:next w:val="LightShading-Accent5"/>
    <w:uiPriority w:val="60"/>
    <w:semiHidden/>
    <w:unhideWhenUsed/>
    <w:rsid w:val="0075191A"/>
    <w:rPr>
      <w:rFonts w:ascii="Century Gothic" w:eastAsia="Meiryo" w:hAnsi="Century Gothic" w:cs="Arial"/>
      <w:color w:val="568278"/>
      <w:sz w:val="20"/>
      <w:szCs w:val="20"/>
      <w:lang w:val="en-US" w:eastAsia="zh-CN"/>
    </w:rPr>
    <w:tblPr>
      <w:tblStyleRowBandSize w:val="1"/>
      <w:tblStyleColBandSize w:val="1"/>
      <w:tblBorders>
        <w:top w:val="single" w:sz="8" w:space="0" w:color="7BA79D"/>
        <w:bottom w:val="single" w:sz="8" w:space="0" w:color="7BA79D"/>
      </w:tblBorders>
    </w:tblPr>
    <w:tblStylePr w:type="fir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la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cPr>
    </w:tblStylePr>
    <w:tblStylePr w:type="band1Horz">
      <w:tblPr/>
      <w:tcPr>
        <w:tcBorders>
          <w:left w:val="nil"/>
          <w:right w:val="nil"/>
          <w:insideH w:val="nil"/>
          <w:insideV w:val="nil"/>
        </w:tcBorders>
        <w:shd w:val="clear" w:color="auto" w:fill="DEE9E6"/>
      </w:tcPr>
    </w:tblStylePr>
  </w:style>
  <w:style w:type="table" w:customStyle="1" w:styleId="Sombreadoclaro-nfasis61">
    <w:name w:val="Sombreado claro - Énfasis 61"/>
    <w:basedOn w:val="TableNormal"/>
    <w:next w:val="LightShading-Accent6"/>
    <w:uiPriority w:val="60"/>
    <w:semiHidden/>
    <w:unhideWhenUsed/>
    <w:rsid w:val="0075191A"/>
    <w:rPr>
      <w:rFonts w:ascii="Century Gothic" w:eastAsia="Meiryo" w:hAnsi="Century Gothic" w:cs="Arial"/>
      <w:color w:val="716767"/>
      <w:sz w:val="20"/>
      <w:szCs w:val="20"/>
      <w:lang w:val="en-US" w:eastAsia="zh-CN"/>
    </w:rPr>
    <w:tblPr>
      <w:tblStyleRowBandSize w:val="1"/>
      <w:tblStyleColBandSize w:val="1"/>
      <w:tblBorders>
        <w:top w:val="single" w:sz="8" w:space="0" w:color="968C8C"/>
        <w:bottom w:val="single" w:sz="8" w:space="0" w:color="968C8C"/>
      </w:tblBorders>
    </w:tblPr>
    <w:tblStylePr w:type="fir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la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cPr>
    </w:tblStylePr>
    <w:tblStylePr w:type="band1Horz">
      <w:tblPr/>
      <w:tcPr>
        <w:tcBorders>
          <w:left w:val="nil"/>
          <w:right w:val="nil"/>
          <w:insideH w:val="nil"/>
          <w:insideV w:val="nil"/>
        </w:tcBorders>
        <w:shd w:val="clear" w:color="auto" w:fill="E5E2E2"/>
      </w:tcPr>
    </w:tblStylePr>
  </w:style>
  <w:style w:type="table" w:customStyle="1" w:styleId="Cuadrculaclara1">
    <w:name w:val="Cuadrícula clara1"/>
    <w:basedOn w:val="TableNormal"/>
    <w:next w:val="LightGrid"/>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tka Text Semibold" w:eastAsia="NSimSun" w:hAnsi="Sitka Tex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uadrculaclara-nfasis11">
    <w:name w:val="Cuadrícula clara - Énfasis 11"/>
    <w:basedOn w:val="TableNormal"/>
    <w:next w:val="LightGrid-Accent1"/>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blStylePr w:type="firstRow">
      <w:pPr>
        <w:spacing w:before="0" w:after="0" w:line="240" w:lineRule="auto"/>
      </w:pPr>
      <w:rPr>
        <w:rFonts w:ascii="Sitka Text Semibold" w:eastAsia="NSimSun" w:hAnsi="Sitka Text Semibold" w:cs="Times New Roman"/>
        <w:b/>
        <w:bCs/>
      </w:rPr>
      <w:tblPr/>
      <w:tcPr>
        <w:tcBorders>
          <w:top w:val="single" w:sz="8" w:space="0" w:color="94B6D2"/>
          <w:left w:val="single" w:sz="8" w:space="0" w:color="94B6D2"/>
          <w:bottom w:val="single" w:sz="18" w:space="0" w:color="94B6D2"/>
          <w:right w:val="single" w:sz="8" w:space="0" w:color="94B6D2"/>
          <w:insideH w:val="nil"/>
          <w:insideV w:val="single" w:sz="8" w:space="0" w:color="94B6D2"/>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94B6D2"/>
          <w:left w:val="single" w:sz="8" w:space="0" w:color="94B6D2"/>
          <w:bottom w:val="single" w:sz="8" w:space="0" w:color="94B6D2"/>
          <w:right w:val="single" w:sz="8" w:space="0" w:color="94B6D2"/>
          <w:insideH w:val="nil"/>
          <w:insideV w:val="single" w:sz="8" w:space="0" w:color="94B6D2"/>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94B6D2"/>
          <w:left w:val="single" w:sz="8" w:space="0" w:color="94B6D2"/>
          <w:bottom w:val="single" w:sz="8" w:space="0" w:color="94B6D2"/>
          <w:right w:val="single" w:sz="8" w:space="0" w:color="94B6D2"/>
        </w:tcBorders>
      </w:tcPr>
    </w:tblStylePr>
    <w:tblStylePr w:type="band1Vert">
      <w:tblPr/>
      <w:tcPr>
        <w:tcBorders>
          <w:top w:val="single" w:sz="8" w:space="0" w:color="94B6D2"/>
          <w:left w:val="single" w:sz="8" w:space="0" w:color="94B6D2"/>
          <w:bottom w:val="single" w:sz="8" w:space="0" w:color="94B6D2"/>
          <w:right w:val="single" w:sz="8" w:space="0" w:color="94B6D2"/>
        </w:tcBorders>
        <w:shd w:val="clear" w:color="auto" w:fill="E4ECF4"/>
      </w:tcPr>
    </w:tblStylePr>
    <w:tblStylePr w:type="band1Horz">
      <w:tblPr/>
      <w:tcPr>
        <w:tcBorders>
          <w:top w:val="single" w:sz="8" w:space="0" w:color="94B6D2"/>
          <w:left w:val="single" w:sz="8" w:space="0" w:color="94B6D2"/>
          <w:bottom w:val="single" w:sz="8" w:space="0" w:color="94B6D2"/>
          <w:right w:val="single" w:sz="8" w:space="0" w:color="94B6D2"/>
          <w:insideV w:val="single" w:sz="8" w:space="0" w:color="94B6D2"/>
        </w:tcBorders>
        <w:shd w:val="clear" w:color="auto" w:fill="E4ECF4"/>
      </w:tcPr>
    </w:tblStylePr>
    <w:tblStylePr w:type="band2Horz">
      <w:tblPr/>
      <w:tcPr>
        <w:tcBorders>
          <w:top w:val="single" w:sz="8" w:space="0" w:color="94B6D2"/>
          <w:left w:val="single" w:sz="8" w:space="0" w:color="94B6D2"/>
          <w:bottom w:val="single" w:sz="8" w:space="0" w:color="94B6D2"/>
          <w:right w:val="single" w:sz="8" w:space="0" w:color="94B6D2"/>
          <w:insideV w:val="single" w:sz="8" w:space="0" w:color="94B6D2"/>
        </w:tcBorders>
      </w:tcPr>
    </w:tblStylePr>
  </w:style>
  <w:style w:type="table" w:customStyle="1" w:styleId="Cuadrculaclara-nfasis21">
    <w:name w:val="Cuadrícula clara - Énfasis 21"/>
    <w:basedOn w:val="TableNormal"/>
    <w:next w:val="LightGrid-Accent2"/>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blStylePr w:type="firstRow">
      <w:pPr>
        <w:spacing w:before="0" w:after="0" w:line="240" w:lineRule="auto"/>
      </w:pPr>
      <w:rPr>
        <w:rFonts w:ascii="Sitka Text Semibold" w:eastAsia="NSimSun" w:hAnsi="Sitka Text Semibold" w:cs="Times New Roman"/>
        <w:b/>
        <w:bCs/>
      </w:rPr>
      <w:tblPr/>
      <w:tcPr>
        <w:tcBorders>
          <w:top w:val="single" w:sz="8" w:space="0" w:color="DD8047"/>
          <w:left w:val="single" w:sz="8" w:space="0" w:color="DD8047"/>
          <w:bottom w:val="single" w:sz="18" w:space="0" w:color="DD8047"/>
          <w:right w:val="single" w:sz="8" w:space="0" w:color="DD8047"/>
          <w:insideH w:val="nil"/>
          <w:insideV w:val="single" w:sz="8" w:space="0" w:color="DD8047"/>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DD8047"/>
          <w:left w:val="single" w:sz="8" w:space="0" w:color="DD8047"/>
          <w:bottom w:val="single" w:sz="8" w:space="0" w:color="DD8047"/>
          <w:right w:val="single" w:sz="8" w:space="0" w:color="DD8047"/>
          <w:insideH w:val="nil"/>
          <w:insideV w:val="single" w:sz="8" w:space="0" w:color="DD8047"/>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DD8047"/>
          <w:left w:val="single" w:sz="8" w:space="0" w:color="DD8047"/>
          <w:bottom w:val="single" w:sz="8" w:space="0" w:color="DD8047"/>
          <w:right w:val="single" w:sz="8" w:space="0" w:color="DD8047"/>
        </w:tcBorders>
      </w:tcPr>
    </w:tblStylePr>
    <w:tblStylePr w:type="band1Vert">
      <w:tblPr/>
      <w:tcPr>
        <w:tcBorders>
          <w:top w:val="single" w:sz="8" w:space="0" w:color="DD8047"/>
          <w:left w:val="single" w:sz="8" w:space="0" w:color="DD8047"/>
          <w:bottom w:val="single" w:sz="8" w:space="0" w:color="DD8047"/>
          <w:right w:val="single" w:sz="8" w:space="0" w:color="DD8047"/>
        </w:tcBorders>
        <w:shd w:val="clear" w:color="auto" w:fill="F6DFD1"/>
      </w:tcPr>
    </w:tblStylePr>
    <w:tblStylePr w:type="band1Horz">
      <w:tblPr/>
      <w:tcPr>
        <w:tcBorders>
          <w:top w:val="single" w:sz="8" w:space="0" w:color="DD8047"/>
          <w:left w:val="single" w:sz="8" w:space="0" w:color="DD8047"/>
          <w:bottom w:val="single" w:sz="8" w:space="0" w:color="DD8047"/>
          <w:right w:val="single" w:sz="8" w:space="0" w:color="DD8047"/>
          <w:insideV w:val="single" w:sz="8" w:space="0" w:color="DD8047"/>
        </w:tcBorders>
        <w:shd w:val="clear" w:color="auto" w:fill="F6DFD1"/>
      </w:tcPr>
    </w:tblStylePr>
    <w:tblStylePr w:type="band2Horz">
      <w:tblPr/>
      <w:tcPr>
        <w:tcBorders>
          <w:top w:val="single" w:sz="8" w:space="0" w:color="DD8047"/>
          <w:left w:val="single" w:sz="8" w:space="0" w:color="DD8047"/>
          <w:bottom w:val="single" w:sz="8" w:space="0" w:color="DD8047"/>
          <w:right w:val="single" w:sz="8" w:space="0" w:color="DD8047"/>
          <w:insideV w:val="single" w:sz="8" w:space="0" w:color="DD8047"/>
        </w:tcBorders>
      </w:tcPr>
    </w:tblStylePr>
  </w:style>
  <w:style w:type="table" w:customStyle="1" w:styleId="Cuadrculaclara-nfasis31">
    <w:name w:val="Cuadrícula clara - Énfasis 31"/>
    <w:basedOn w:val="TableNormal"/>
    <w:next w:val="LightGrid-Accent3"/>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blStylePr w:type="firstRow">
      <w:pPr>
        <w:spacing w:before="0" w:after="0" w:line="240" w:lineRule="auto"/>
      </w:pPr>
      <w:rPr>
        <w:rFonts w:ascii="Sitka Text Semibold" w:eastAsia="NSimSun" w:hAnsi="Sitka Text Semibold" w:cs="Times New Roman"/>
        <w:b/>
        <w:bCs/>
      </w:rPr>
      <w:tblPr/>
      <w:tcPr>
        <w:tcBorders>
          <w:top w:val="single" w:sz="8" w:space="0" w:color="A5AB81"/>
          <w:left w:val="single" w:sz="8" w:space="0" w:color="A5AB81"/>
          <w:bottom w:val="single" w:sz="18" w:space="0" w:color="A5AB81"/>
          <w:right w:val="single" w:sz="8" w:space="0" w:color="A5AB81"/>
          <w:insideH w:val="nil"/>
          <w:insideV w:val="single" w:sz="8" w:space="0" w:color="A5AB81"/>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A5AB81"/>
          <w:left w:val="single" w:sz="8" w:space="0" w:color="A5AB81"/>
          <w:bottom w:val="single" w:sz="8" w:space="0" w:color="A5AB81"/>
          <w:right w:val="single" w:sz="8" w:space="0" w:color="A5AB81"/>
          <w:insideH w:val="nil"/>
          <w:insideV w:val="single" w:sz="8" w:space="0" w:color="A5AB81"/>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A5AB81"/>
          <w:left w:val="single" w:sz="8" w:space="0" w:color="A5AB81"/>
          <w:bottom w:val="single" w:sz="8" w:space="0" w:color="A5AB81"/>
          <w:right w:val="single" w:sz="8" w:space="0" w:color="A5AB81"/>
        </w:tcBorders>
      </w:tcPr>
    </w:tblStylePr>
    <w:tblStylePr w:type="band1Vert">
      <w:tblPr/>
      <w:tcPr>
        <w:tcBorders>
          <w:top w:val="single" w:sz="8" w:space="0" w:color="A5AB81"/>
          <w:left w:val="single" w:sz="8" w:space="0" w:color="A5AB81"/>
          <w:bottom w:val="single" w:sz="8" w:space="0" w:color="A5AB81"/>
          <w:right w:val="single" w:sz="8" w:space="0" w:color="A5AB81"/>
        </w:tcBorders>
        <w:shd w:val="clear" w:color="auto" w:fill="E8EADF"/>
      </w:tcPr>
    </w:tblStylePr>
    <w:tblStylePr w:type="band1Horz">
      <w:tblPr/>
      <w:tcPr>
        <w:tcBorders>
          <w:top w:val="single" w:sz="8" w:space="0" w:color="A5AB81"/>
          <w:left w:val="single" w:sz="8" w:space="0" w:color="A5AB81"/>
          <w:bottom w:val="single" w:sz="8" w:space="0" w:color="A5AB81"/>
          <w:right w:val="single" w:sz="8" w:space="0" w:color="A5AB81"/>
          <w:insideV w:val="single" w:sz="8" w:space="0" w:color="A5AB81"/>
        </w:tcBorders>
        <w:shd w:val="clear" w:color="auto" w:fill="E8EADF"/>
      </w:tcPr>
    </w:tblStylePr>
    <w:tblStylePr w:type="band2Horz">
      <w:tblPr/>
      <w:tcPr>
        <w:tcBorders>
          <w:top w:val="single" w:sz="8" w:space="0" w:color="A5AB81"/>
          <w:left w:val="single" w:sz="8" w:space="0" w:color="A5AB81"/>
          <w:bottom w:val="single" w:sz="8" w:space="0" w:color="A5AB81"/>
          <w:right w:val="single" w:sz="8" w:space="0" w:color="A5AB81"/>
          <w:insideV w:val="single" w:sz="8" w:space="0" w:color="A5AB81"/>
        </w:tcBorders>
      </w:tcPr>
    </w:tblStylePr>
  </w:style>
  <w:style w:type="table" w:customStyle="1" w:styleId="Cuadrculaclara-nfasis41">
    <w:name w:val="Cuadrícula clara - Énfasis 41"/>
    <w:basedOn w:val="TableNormal"/>
    <w:next w:val="LightGrid-Accent4"/>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blStylePr w:type="firstRow">
      <w:pPr>
        <w:spacing w:before="0" w:after="0" w:line="240" w:lineRule="auto"/>
      </w:pPr>
      <w:rPr>
        <w:rFonts w:ascii="Sitka Text Semibold" w:eastAsia="NSimSun" w:hAnsi="Sitka Text Semibold" w:cs="Times New Roman"/>
        <w:b/>
        <w:bCs/>
      </w:rPr>
      <w:tblPr/>
      <w:tcPr>
        <w:tcBorders>
          <w:top w:val="single" w:sz="8" w:space="0" w:color="D8B25C"/>
          <w:left w:val="single" w:sz="8" w:space="0" w:color="D8B25C"/>
          <w:bottom w:val="single" w:sz="18" w:space="0" w:color="D8B25C"/>
          <w:right w:val="single" w:sz="8" w:space="0" w:color="D8B25C"/>
          <w:insideH w:val="nil"/>
          <w:insideV w:val="single" w:sz="8" w:space="0" w:color="D8B25C"/>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D8B25C"/>
          <w:left w:val="single" w:sz="8" w:space="0" w:color="D8B25C"/>
          <w:bottom w:val="single" w:sz="8" w:space="0" w:color="D8B25C"/>
          <w:right w:val="single" w:sz="8" w:space="0" w:color="D8B25C"/>
          <w:insideH w:val="nil"/>
          <w:insideV w:val="single" w:sz="8" w:space="0" w:color="D8B25C"/>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D8B25C"/>
          <w:left w:val="single" w:sz="8" w:space="0" w:color="D8B25C"/>
          <w:bottom w:val="single" w:sz="8" w:space="0" w:color="D8B25C"/>
          <w:right w:val="single" w:sz="8" w:space="0" w:color="D8B25C"/>
        </w:tcBorders>
      </w:tcPr>
    </w:tblStylePr>
    <w:tblStylePr w:type="band1Vert">
      <w:tblPr/>
      <w:tcPr>
        <w:tcBorders>
          <w:top w:val="single" w:sz="8" w:space="0" w:color="D8B25C"/>
          <w:left w:val="single" w:sz="8" w:space="0" w:color="D8B25C"/>
          <w:bottom w:val="single" w:sz="8" w:space="0" w:color="D8B25C"/>
          <w:right w:val="single" w:sz="8" w:space="0" w:color="D8B25C"/>
        </w:tcBorders>
        <w:shd w:val="clear" w:color="auto" w:fill="F5EBD6"/>
      </w:tcPr>
    </w:tblStylePr>
    <w:tblStylePr w:type="band1Horz">
      <w:tblPr/>
      <w:tcPr>
        <w:tcBorders>
          <w:top w:val="single" w:sz="8" w:space="0" w:color="D8B25C"/>
          <w:left w:val="single" w:sz="8" w:space="0" w:color="D8B25C"/>
          <w:bottom w:val="single" w:sz="8" w:space="0" w:color="D8B25C"/>
          <w:right w:val="single" w:sz="8" w:space="0" w:color="D8B25C"/>
          <w:insideV w:val="single" w:sz="8" w:space="0" w:color="D8B25C"/>
        </w:tcBorders>
        <w:shd w:val="clear" w:color="auto" w:fill="F5EBD6"/>
      </w:tcPr>
    </w:tblStylePr>
    <w:tblStylePr w:type="band2Horz">
      <w:tblPr/>
      <w:tcPr>
        <w:tcBorders>
          <w:top w:val="single" w:sz="8" w:space="0" w:color="D8B25C"/>
          <w:left w:val="single" w:sz="8" w:space="0" w:color="D8B25C"/>
          <w:bottom w:val="single" w:sz="8" w:space="0" w:color="D8B25C"/>
          <w:right w:val="single" w:sz="8" w:space="0" w:color="D8B25C"/>
          <w:insideV w:val="single" w:sz="8" w:space="0" w:color="D8B25C"/>
        </w:tcBorders>
      </w:tcPr>
    </w:tblStylePr>
  </w:style>
  <w:style w:type="table" w:customStyle="1" w:styleId="Cuadrculaclara-nfasis51">
    <w:name w:val="Cuadrícula clara - Énfasis 51"/>
    <w:basedOn w:val="TableNormal"/>
    <w:next w:val="LightGrid-Accent5"/>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blStylePr w:type="firstRow">
      <w:pPr>
        <w:spacing w:before="0" w:after="0" w:line="240" w:lineRule="auto"/>
      </w:pPr>
      <w:rPr>
        <w:rFonts w:ascii="Sitka Text Semibold" w:eastAsia="NSimSun" w:hAnsi="Sitka Text Semibold" w:cs="Times New Roman"/>
        <w:b/>
        <w:bCs/>
      </w:rPr>
      <w:tblPr/>
      <w:tcPr>
        <w:tcBorders>
          <w:top w:val="single" w:sz="8" w:space="0" w:color="7BA79D"/>
          <w:left w:val="single" w:sz="8" w:space="0" w:color="7BA79D"/>
          <w:bottom w:val="single" w:sz="18" w:space="0" w:color="7BA79D"/>
          <w:right w:val="single" w:sz="8" w:space="0" w:color="7BA79D"/>
          <w:insideH w:val="nil"/>
          <w:insideV w:val="single" w:sz="8" w:space="0" w:color="7BA79D"/>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7BA79D"/>
          <w:left w:val="single" w:sz="8" w:space="0" w:color="7BA79D"/>
          <w:bottom w:val="single" w:sz="8" w:space="0" w:color="7BA79D"/>
          <w:right w:val="single" w:sz="8" w:space="0" w:color="7BA79D"/>
          <w:insideH w:val="nil"/>
          <w:insideV w:val="single" w:sz="8" w:space="0" w:color="7BA79D"/>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7BA79D"/>
          <w:left w:val="single" w:sz="8" w:space="0" w:color="7BA79D"/>
          <w:bottom w:val="single" w:sz="8" w:space="0" w:color="7BA79D"/>
          <w:right w:val="single" w:sz="8" w:space="0" w:color="7BA79D"/>
        </w:tcBorders>
      </w:tcPr>
    </w:tblStylePr>
    <w:tblStylePr w:type="band1Vert">
      <w:tblPr/>
      <w:tcPr>
        <w:tcBorders>
          <w:top w:val="single" w:sz="8" w:space="0" w:color="7BA79D"/>
          <w:left w:val="single" w:sz="8" w:space="0" w:color="7BA79D"/>
          <w:bottom w:val="single" w:sz="8" w:space="0" w:color="7BA79D"/>
          <w:right w:val="single" w:sz="8" w:space="0" w:color="7BA79D"/>
        </w:tcBorders>
        <w:shd w:val="clear" w:color="auto" w:fill="DEE9E6"/>
      </w:tcPr>
    </w:tblStylePr>
    <w:tblStylePr w:type="band1Horz">
      <w:tblPr/>
      <w:tcPr>
        <w:tcBorders>
          <w:top w:val="single" w:sz="8" w:space="0" w:color="7BA79D"/>
          <w:left w:val="single" w:sz="8" w:space="0" w:color="7BA79D"/>
          <w:bottom w:val="single" w:sz="8" w:space="0" w:color="7BA79D"/>
          <w:right w:val="single" w:sz="8" w:space="0" w:color="7BA79D"/>
          <w:insideV w:val="single" w:sz="8" w:space="0" w:color="7BA79D"/>
        </w:tcBorders>
        <w:shd w:val="clear" w:color="auto" w:fill="DEE9E6"/>
      </w:tcPr>
    </w:tblStylePr>
    <w:tblStylePr w:type="band2Horz">
      <w:tblPr/>
      <w:tcPr>
        <w:tcBorders>
          <w:top w:val="single" w:sz="8" w:space="0" w:color="7BA79D"/>
          <w:left w:val="single" w:sz="8" w:space="0" w:color="7BA79D"/>
          <w:bottom w:val="single" w:sz="8" w:space="0" w:color="7BA79D"/>
          <w:right w:val="single" w:sz="8" w:space="0" w:color="7BA79D"/>
          <w:insideV w:val="single" w:sz="8" w:space="0" w:color="7BA79D"/>
        </w:tcBorders>
      </w:tcPr>
    </w:tblStylePr>
  </w:style>
  <w:style w:type="table" w:customStyle="1" w:styleId="Cuadrculaclara-nfasis61">
    <w:name w:val="Cuadrícula clara - Énfasis 61"/>
    <w:basedOn w:val="TableNormal"/>
    <w:next w:val="LightGrid-Accent6"/>
    <w:uiPriority w:val="62"/>
    <w:semiHidden/>
    <w:unhideWhenUsed/>
    <w:rsid w:val="0075191A"/>
    <w:rPr>
      <w:rFonts w:ascii="Century Gothic" w:eastAsia="Meiryo" w:hAnsi="Century Gothic" w:cs="Arial"/>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blStylePr w:type="firstRow">
      <w:pPr>
        <w:spacing w:before="0" w:after="0" w:line="240" w:lineRule="auto"/>
      </w:pPr>
      <w:rPr>
        <w:rFonts w:ascii="Sitka Text Semibold" w:eastAsia="NSimSun" w:hAnsi="Sitka Text Semibold" w:cs="Times New Roman"/>
        <w:b/>
        <w:bCs/>
      </w:rPr>
      <w:tblPr/>
      <w:tcPr>
        <w:tcBorders>
          <w:top w:val="single" w:sz="8" w:space="0" w:color="968C8C"/>
          <w:left w:val="single" w:sz="8" w:space="0" w:color="968C8C"/>
          <w:bottom w:val="single" w:sz="18" w:space="0" w:color="968C8C"/>
          <w:right w:val="single" w:sz="8" w:space="0" w:color="968C8C"/>
          <w:insideH w:val="nil"/>
          <w:insideV w:val="single" w:sz="8" w:space="0" w:color="968C8C"/>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968C8C"/>
          <w:left w:val="single" w:sz="8" w:space="0" w:color="968C8C"/>
          <w:bottom w:val="single" w:sz="8" w:space="0" w:color="968C8C"/>
          <w:right w:val="single" w:sz="8" w:space="0" w:color="968C8C"/>
          <w:insideH w:val="nil"/>
          <w:insideV w:val="single" w:sz="8" w:space="0" w:color="968C8C"/>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968C8C"/>
          <w:left w:val="single" w:sz="8" w:space="0" w:color="968C8C"/>
          <w:bottom w:val="single" w:sz="8" w:space="0" w:color="968C8C"/>
          <w:right w:val="single" w:sz="8" w:space="0" w:color="968C8C"/>
        </w:tcBorders>
      </w:tcPr>
    </w:tblStylePr>
    <w:tblStylePr w:type="band1Vert">
      <w:tblPr/>
      <w:tcPr>
        <w:tcBorders>
          <w:top w:val="single" w:sz="8" w:space="0" w:color="968C8C"/>
          <w:left w:val="single" w:sz="8" w:space="0" w:color="968C8C"/>
          <w:bottom w:val="single" w:sz="8" w:space="0" w:color="968C8C"/>
          <w:right w:val="single" w:sz="8" w:space="0" w:color="968C8C"/>
        </w:tcBorders>
        <w:shd w:val="clear" w:color="auto" w:fill="E5E2E2"/>
      </w:tcPr>
    </w:tblStylePr>
    <w:tblStylePr w:type="band1Horz">
      <w:tblPr/>
      <w:tcPr>
        <w:tcBorders>
          <w:top w:val="single" w:sz="8" w:space="0" w:color="968C8C"/>
          <w:left w:val="single" w:sz="8" w:space="0" w:color="968C8C"/>
          <w:bottom w:val="single" w:sz="8" w:space="0" w:color="968C8C"/>
          <w:right w:val="single" w:sz="8" w:space="0" w:color="968C8C"/>
          <w:insideV w:val="single" w:sz="8" w:space="0" w:color="968C8C"/>
        </w:tcBorders>
        <w:shd w:val="clear" w:color="auto" w:fill="E5E2E2"/>
      </w:tcPr>
    </w:tblStylePr>
    <w:tblStylePr w:type="band2Horz">
      <w:tblPr/>
      <w:tcPr>
        <w:tcBorders>
          <w:top w:val="single" w:sz="8" w:space="0" w:color="968C8C"/>
          <w:left w:val="single" w:sz="8" w:space="0" w:color="968C8C"/>
          <w:bottom w:val="single" w:sz="8" w:space="0" w:color="968C8C"/>
          <w:right w:val="single" w:sz="8" w:space="0" w:color="968C8C"/>
          <w:insideV w:val="single" w:sz="8" w:space="0" w:color="968C8C"/>
        </w:tcBorders>
      </w:tcPr>
    </w:tblStylePr>
  </w:style>
  <w:style w:type="table" w:customStyle="1" w:styleId="Listaoscura1">
    <w:name w:val="Lista oscura1"/>
    <w:basedOn w:val="TableNormal"/>
    <w:next w:val="DarkList"/>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aoscura-nfasis11">
    <w:name w:val="Lista oscura - Énfasis 11"/>
    <w:basedOn w:val="TableNormal"/>
    <w:next w:val="DarkList-Accent1"/>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94B6D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45C7D"/>
      </w:tcPr>
    </w:tblStylePr>
    <w:tblStylePr w:type="firstCol">
      <w:tblPr/>
      <w:tcPr>
        <w:tcBorders>
          <w:top w:val="nil"/>
          <w:left w:val="nil"/>
          <w:bottom w:val="nil"/>
          <w:right w:val="single" w:sz="18" w:space="0" w:color="FFFFFF"/>
          <w:insideH w:val="nil"/>
          <w:insideV w:val="nil"/>
        </w:tcBorders>
        <w:shd w:val="clear" w:color="auto" w:fill="548AB7"/>
      </w:tcPr>
    </w:tblStylePr>
    <w:tblStylePr w:type="lastCol">
      <w:tblPr/>
      <w:tcPr>
        <w:tcBorders>
          <w:top w:val="nil"/>
          <w:left w:val="single" w:sz="18" w:space="0" w:color="FFFFFF"/>
          <w:bottom w:val="nil"/>
          <w:right w:val="nil"/>
          <w:insideH w:val="nil"/>
          <w:insideV w:val="nil"/>
        </w:tcBorders>
        <w:shd w:val="clear" w:color="auto" w:fill="548AB7"/>
      </w:tcPr>
    </w:tblStylePr>
    <w:tblStylePr w:type="band1Vert">
      <w:tblPr/>
      <w:tcPr>
        <w:tcBorders>
          <w:top w:val="nil"/>
          <w:left w:val="nil"/>
          <w:bottom w:val="nil"/>
          <w:right w:val="nil"/>
          <w:insideH w:val="nil"/>
          <w:insideV w:val="nil"/>
        </w:tcBorders>
        <w:shd w:val="clear" w:color="auto" w:fill="548AB7"/>
      </w:tcPr>
    </w:tblStylePr>
    <w:tblStylePr w:type="band1Horz">
      <w:tblPr/>
      <w:tcPr>
        <w:tcBorders>
          <w:top w:val="nil"/>
          <w:left w:val="nil"/>
          <w:bottom w:val="nil"/>
          <w:right w:val="nil"/>
          <w:insideH w:val="nil"/>
          <w:insideV w:val="nil"/>
        </w:tcBorders>
        <w:shd w:val="clear" w:color="auto" w:fill="548AB7"/>
      </w:tcPr>
    </w:tblStylePr>
  </w:style>
  <w:style w:type="table" w:customStyle="1" w:styleId="Listaoscura-nfasis21">
    <w:name w:val="Lista oscura - Énfasis 21"/>
    <w:basedOn w:val="TableNormal"/>
    <w:next w:val="DarkList-Accent2"/>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DD80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A3C16"/>
      </w:tcPr>
    </w:tblStylePr>
    <w:tblStylePr w:type="firstCol">
      <w:tblPr/>
      <w:tcPr>
        <w:tcBorders>
          <w:top w:val="nil"/>
          <w:left w:val="nil"/>
          <w:bottom w:val="nil"/>
          <w:right w:val="single" w:sz="18" w:space="0" w:color="FFFFFF"/>
          <w:insideH w:val="nil"/>
          <w:insideV w:val="nil"/>
        </w:tcBorders>
        <w:shd w:val="clear" w:color="auto" w:fill="B85A22"/>
      </w:tcPr>
    </w:tblStylePr>
    <w:tblStylePr w:type="lastCol">
      <w:tblPr/>
      <w:tcPr>
        <w:tcBorders>
          <w:top w:val="nil"/>
          <w:left w:val="single" w:sz="18" w:space="0" w:color="FFFFFF"/>
          <w:bottom w:val="nil"/>
          <w:right w:val="nil"/>
          <w:insideH w:val="nil"/>
          <w:insideV w:val="nil"/>
        </w:tcBorders>
        <w:shd w:val="clear" w:color="auto" w:fill="B85A22"/>
      </w:tcPr>
    </w:tblStylePr>
    <w:tblStylePr w:type="band1Vert">
      <w:tblPr/>
      <w:tcPr>
        <w:tcBorders>
          <w:top w:val="nil"/>
          <w:left w:val="nil"/>
          <w:bottom w:val="nil"/>
          <w:right w:val="nil"/>
          <w:insideH w:val="nil"/>
          <w:insideV w:val="nil"/>
        </w:tcBorders>
        <w:shd w:val="clear" w:color="auto" w:fill="B85A22"/>
      </w:tcPr>
    </w:tblStylePr>
    <w:tblStylePr w:type="band1Horz">
      <w:tblPr/>
      <w:tcPr>
        <w:tcBorders>
          <w:top w:val="nil"/>
          <w:left w:val="nil"/>
          <w:bottom w:val="nil"/>
          <w:right w:val="nil"/>
          <w:insideH w:val="nil"/>
          <w:insideV w:val="nil"/>
        </w:tcBorders>
        <w:shd w:val="clear" w:color="auto" w:fill="B85A22"/>
      </w:tcPr>
    </w:tblStylePr>
  </w:style>
  <w:style w:type="table" w:customStyle="1" w:styleId="Listaoscura-nfasis31">
    <w:name w:val="Lista oscura - Énfasis 31"/>
    <w:basedOn w:val="TableNormal"/>
    <w:next w:val="DarkList-Accent3"/>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A5AB8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5593B"/>
      </w:tcPr>
    </w:tblStylePr>
    <w:tblStylePr w:type="firstCol">
      <w:tblPr/>
      <w:tcPr>
        <w:tcBorders>
          <w:top w:val="nil"/>
          <w:left w:val="nil"/>
          <w:bottom w:val="nil"/>
          <w:right w:val="single" w:sz="18" w:space="0" w:color="FFFFFF"/>
          <w:insideH w:val="nil"/>
          <w:insideV w:val="nil"/>
        </w:tcBorders>
        <w:shd w:val="clear" w:color="auto" w:fill="80865A"/>
      </w:tcPr>
    </w:tblStylePr>
    <w:tblStylePr w:type="lastCol">
      <w:tblPr/>
      <w:tcPr>
        <w:tcBorders>
          <w:top w:val="nil"/>
          <w:left w:val="single" w:sz="18" w:space="0" w:color="FFFFFF"/>
          <w:bottom w:val="nil"/>
          <w:right w:val="nil"/>
          <w:insideH w:val="nil"/>
          <w:insideV w:val="nil"/>
        </w:tcBorders>
        <w:shd w:val="clear" w:color="auto" w:fill="80865A"/>
      </w:tcPr>
    </w:tblStylePr>
    <w:tblStylePr w:type="band1Vert">
      <w:tblPr/>
      <w:tcPr>
        <w:tcBorders>
          <w:top w:val="nil"/>
          <w:left w:val="nil"/>
          <w:bottom w:val="nil"/>
          <w:right w:val="nil"/>
          <w:insideH w:val="nil"/>
          <w:insideV w:val="nil"/>
        </w:tcBorders>
        <w:shd w:val="clear" w:color="auto" w:fill="80865A"/>
      </w:tcPr>
    </w:tblStylePr>
    <w:tblStylePr w:type="band1Horz">
      <w:tblPr/>
      <w:tcPr>
        <w:tcBorders>
          <w:top w:val="nil"/>
          <w:left w:val="nil"/>
          <w:bottom w:val="nil"/>
          <w:right w:val="nil"/>
          <w:insideH w:val="nil"/>
          <w:insideV w:val="nil"/>
        </w:tcBorders>
        <w:shd w:val="clear" w:color="auto" w:fill="80865A"/>
      </w:tcPr>
    </w:tblStylePr>
  </w:style>
  <w:style w:type="table" w:customStyle="1" w:styleId="Listaoscura-nfasis41">
    <w:name w:val="Lista oscura - Énfasis 41"/>
    <w:basedOn w:val="TableNormal"/>
    <w:next w:val="DarkList-Accent4"/>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D8B25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B5E1D"/>
      </w:tcPr>
    </w:tblStylePr>
    <w:tblStylePr w:type="firstCol">
      <w:tblPr/>
      <w:tcPr>
        <w:tcBorders>
          <w:top w:val="nil"/>
          <w:left w:val="nil"/>
          <w:bottom w:val="nil"/>
          <w:right w:val="single" w:sz="18" w:space="0" w:color="FFFFFF"/>
          <w:insideH w:val="nil"/>
          <w:insideV w:val="nil"/>
        </w:tcBorders>
        <w:shd w:val="clear" w:color="auto" w:fill="BA8E2C"/>
      </w:tcPr>
    </w:tblStylePr>
    <w:tblStylePr w:type="lastCol">
      <w:tblPr/>
      <w:tcPr>
        <w:tcBorders>
          <w:top w:val="nil"/>
          <w:left w:val="single" w:sz="18" w:space="0" w:color="FFFFFF"/>
          <w:bottom w:val="nil"/>
          <w:right w:val="nil"/>
          <w:insideH w:val="nil"/>
          <w:insideV w:val="nil"/>
        </w:tcBorders>
        <w:shd w:val="clear" w:color="auto" w:fill="BA8E2C"/>
      </w:tcPr>
    </w:tblStylePr>
    <w:tblStylePr w:type="band1Vert">
      <w:tblPr/>
      <w:tcPr>
        <w:tcBorders>
          <w:top w:val="nil"/>
          <w:left w:val="nil"/>
          <w:bottom w:val="nil"/>
          <w:right w:val="nil"/>
          <w:insideH w:val="nil"/>
          <w:insideV w:val="nil"/>
        </w:tcBorders>
        <w:shd w:val="clear" w:color="auto" w:fill="BA8E2C"/>
      </w:tcPr>
    </w:tblStylePr>
    <w:tblStylePr w:type="band1Horz">
      <w:tblPr/>
      <w:tcPr>
        <w:tcBorders>
          <w:top w:val="nil"/>
          <w:left w:val="nil"/>
          <w:bottom w:val="nil"/>
          <w:right w:val="nil"/>
          <w:insideH w:val="nil"/>
          <w:insideV w:val="nil"/>
        </w:tcBorders>
        <w:shd w:val="clear" w:color="auto" w:fill="BA8E2C"/>
      </w:tcPr>
    </w:tblStylePr>
  </w:style>
  <w:style w:type="table" w:customStyle="1" w:styleId="Listaoscura-nfasis51">
    <w:name w:val="Lista oscura - Énfasis 51"/>
    <w:basedOn w:val="TableNormal"/>
    <w:next w:val="DarkList-Accent5"/>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7BA79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564F"/>
      </w:tcPr>
    </w:tblStylePr>
    <w:tblStylePr w:type="firstCol">
      <w:tblPr/>
      <w:tcPr>
        <w:tcBorders>
          <w:top w:val="nil"/>
          <w:left w:val="nil"/>
          <w:bottom w:val="nil"/>
          <w:right w:val="single" w:sz="18" w:space="0" w:color="FFFFFF"/>
          <w:insideH w:val="nil"/>
          <w:insideV w:val="nil"/>
        </w:tcBorders>
        <w:shd w:val="clear" w:color="auto" w:fill="568278"/>
      </w:tcPr>
    </w:tblStylePr>
    <w:tblStylePr w:type="lastCol">
      <w:tblPr/>
      <w:tcPr>
        <w:tcBorders>
          <w:top w:val="nil"/>
          <w:left w:val="single" w:sz="18" w:space="0" w:color="FFFFFF"/>
          <w:bottom w:val="nil"/>
          <w:right w:val="nil"/>
          <w:insideH w:val="nil"/>
          <w:insideV w:val="nil"/>
        </w:tcBorders>
        <w:shd w:val="clear" w:color="auto" w:fill="568278"/>
      </w:tcPr>
    </w:tblStylePr>
    <w:tblStylePr w:type="band1Vert">
      <w:tblPr/>
      <w:tcPr>
        <w:tcBorders>
          <w:top w:val="nil"/>
          <w:left w:val="nil"/>
          <w:bottom w:val="nil"/>
          <w:right w:val="nil"/>
          <w:insideH w:val="nil"/>
          <w:insideV w:val="nil"/>
        </w:tcBorders>
        <w:shd w:val="clear" w:color="auto" w:fill="568278"/>
      </w:tcPr>
    </w:tblStylePr>
    <w:tblStylePr w:type="band1Horz">
      <w:tblPr/>
      <w:tcPr>
        <w:tcBorders>
          <w:top w:val="nil"/>
          <w:left w:val="nil"/>
          <w:bottom w:val="nil"/>
          <w:right w:val="nil"/>
          <w:insideH w:val="nil"/>
          <w:insideV w:val="nil"/>
        </w:tcBorders>
        <w:shd w:val="clear" w:color="auto" w:fill="568278"/>
      </w:tcPr>
    </w:tblStylePr>
  </w:style>
  <w:style w:type="table" w:customStyle="1" w:styleId="Listaoscura-nfasis61">
    <w:name w:val="Lista oscura - Énfasis 61"/>
    <w:basedOn w:val="TableNormal"/>
    <w:next w:val="DarkList-Accent6"/>
    <w:uiPriority w:val="70"/>
    <w:semiHidden/>
    <w:unhideWhenUsed/>
    <w:rsid w:val="0075191A"/>
    <w:rPr>
      <w:rFonts w:ascii="Century Gothic" w:eastAsia="Meiryo" w:hAnsi="Century Gothic" w:cs="Arial"/>
      <w:color w:val="FFFFFF"/>
      <w:sz w:val="20"/>
      <w:szCs w:val="20"/>
      <w:lang w:val="en-US" w:eastAsia="zh-CN"/>
    </w:rPr>
    <w:tblPr>
      <w:tblStyleRowBandSize w:val="1"/>
      <w:tblStyleColBandSize w:val="1"/>
    </w:tblPr>
    <w:tcPr>
      <w:shd w:val="clear" w:color="auto" w:fill="968C8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B4545"/>
      </w:tcPr>
    </w:tblStylePr>
    <w:tblStylePr w:type="firstCol">
      <w:tblPr/>
      <w:tcPr>
        <w:tcBorders>
          <w:top w:val="nil"/>
          <w:left w:val="nil"/>
          <w:bottom w:val="nil"/>
          <w:right w:val="single" w:sz="18" w:space="0" w:color="FFFFFF"/>
          <w:insideH w:val="nil"/>
          <w:insideV w:val="nil"/>
        </w:tcBorders>
        <w:shd w:val="clear" w:color="auto" w:fill="716767"/>
      </w:tcPr>
    </w:tblStylePr>
    <w:tblStylePr w:type="lastCol">
      <w:tblPr/>
      <w:tcPr>
        <w:tcBorders>
          <w:top w:val="nil"/>
          <w:left w:val="single" w:sz="18" w:space="0" w:color="FFFFFF"/>
          <w:bottom w:val="nil"/>
          <w:right w:val="nil"/>
          <w:insideH w:val="nil"/>
          <w:insideV w:val="nil"/>
        </w:tcBorders>
        <w:shd w:val="clear" w:color="auto" w:fill="716767"/>
      </w:tcPr>
    </w:tblStylePr>
    <w:tblStylePr w:type="band1Vert">
      <w:tblPr/>
      <w:tcPr>
        <w:tcBorders>
          <w:top w:val="nil"/>
          <w:left w:val="nil"/>
          <w:bottom w:val="nil"/>
          <w:right w:val="nil"/>
          <w:insideH w:val="nil"/>
          <w:insideV w:val="nil"/>
        </w:tcBorders>
        <w:shd w:val="clear" w:color="auto" w:fill="716767"/>
      </w:tcPr>
    </w:tblStylePr>
    <w:tblStylePr w:type="band1Horz">
      <w:tblPr/>
      <w:tcPr>
        <w:tcBorders>
          <w:top w:val="nil"/>
          <w:left w:val="nil"/>
          <w:bottom w:val="nil"/>
          <w:right w:val="nil"/>
          <w:insideH w:val="nil"/>
          <w:insideV w:val="nil"/>
        </w:tcBorders>
        <w:shd w:val="clear" w:color="auto" w:fill="716767"/>
      </w:tcPr>
    </w:tblStylePr>
  </w:style>
  <w:style w:type="table" w:customStyle="1" w:styleId="Tabladelista1clara2">
    <w:name w:val="Tabla de lista 1 clara2"/>
    <w:basedOn w:val="TableNormal"/>
    <w:next w:val="ListTable1Light"/>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1clara-nfasis12">
    <w:name w:val="Tabla de lista 1 clara - Énfasis 1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BED3E4"/>
        </w:tcBorders>
      </w:tcPr>
    </w:tblStylePr>
    <w:tblStylePr w:type="lastRow">
      <w:rPr>
        <w:b/>
        <w:bCs/>
      </w:rPr>
      <w:tblPr/>
      <w:tcPr>
        <w:tcBorders>
          <w:top w:val="sing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delista1clara-nfasis22">
    <w:name w:val="Tabla de lista 1 clara - Énfasis 2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EAB290"/>
        </w:tcBorders>
      </w:tcPr>
    </w:tblStylePr>
    <w:tblStylePr w:type="lastRow">
      <w:rPr>
        <w:b/>
        <w:bCs/>
      </w:rPr>
      <w:tblPr/>
      <w:tcPr>
        <w:tcBorders>
          <w:top w:val="sing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delista1clara-nfasis32">
    <w:name w:val="Tabla de lista 1 clara - Énfasis 3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C8CCB3"/>
        </w:tcBorders>
      </w:tcPr>
    </w:tblStylePr>
    <w:tblStylePr w:type="lastRow">
      <w:rPr>
        <w:b/>
        <w:bCs/>
      </w:rPr>
      <w:tblPr/>
      <w:tcPr>
        <w:tcBorders>
          <w:top w:val="sing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delista1clara-nfasis42">
    <w:name w:val="Tabla de lista 1 clara - Énfasis 4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E7D09D"/>
        </w:tcBorders>
      </w:tcPr>
    </w:tblStylePr>
    <w:tblStylePr w:type="lastRow">
      <w:rPr>
        <w:b/>
        <w:bCs/>
      </w:rPr>
      <w:tblPr/>
      <w:tcPr>
        <w:tcBorders>
          <w:top w:val="sing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delista1clara-nfasis52">
    <w:name w:val="Tabla de lista 1 clara - Énfasis 5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AFCAC4"/>
        </w:tcBorders>
      </w:tcPr>
    </w:tblStylePr>
    <w:tblStylePr w:type="lastRow">
      <w:rPr>
        <w:b/>
        <w:bCs/>
      </w:rPr>
      <w:tblPr/>
      <w:tcPr>
        <w:tcBorders>
          <w:top w:val="sing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delista1clara-nfasis62">
    <w:name w:val="Tabla de lista 1 clara - Énfasis 62"/>
    <w:basedOn w:val="TableNormal"/>
    <w:uiPriority w:val="46"/>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C0BABA"/>
        </w:tcBorders>
      </w:tcPr>
    </w:tblStylePr>
    <w:tblStylePr w:type="lastRow">
      <w:rPr>
        <w:b/>
        <w:bCs/>
      </w:rPr>
      <w:tblPr/>
      <w:tcPr>
        <w:tcBorders>
          <w:top w:val="sing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delista22">
    <w:name w:val="Tabla de lista 22"/>
    <w:basedOn w:val="TableNormal"/>
    <w:next w:val="ListTable2"/>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nfasis12">
    <w:name w:val="Tabla de lista 2 - Énfasis 1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BED3E4"/>
        <w:bottom w:val="single" w:sz="4" w:space="0" w:color="BED3E4"/>
        <w:insideH w:val="single" w:sz="4" w:space="0" w:color="BED3E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delista2-nfasis22">
    <w:name w:val="Tabla de lista 2 - Énfasis 2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EAB290"/>
        <w:bottom w:val="single" w:sz="4" w:space="0" w:color="EAB290"/>
        <w:insideH w:val="single" w:sz="4" w:space="0" w:color="EAB29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delista2-nfasis32">
    <w:name w:val="Tabla de lista 2 - Énfasis 3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C8CCB3"/>
        <w:bottom w:val="single" w:sz="4" w:space="0" w:color="C8CCB3"/>
        <w:insideH w:val="single" w:sz="4" w:space="0" w:color="C8CCB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delista2-nfasis42">
    <w:name w:val="Tabla de lista 2 - Énfasis 4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E7D09D"/>
        <w:bottom w:val="single" w:sz="4" w:space="0" w:color="E7D09D"/>
        <w:insideH w:val="single" w:sz="4" w:space="0" w:color="E7D09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delista2-nfasis52">
    <w:name w:val="Tabla de lista 2 - Énfasis 5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AFCAC4"/>
        <w:bottom w:val="single" w:sz="4" w:space="0" w:color="AFCAC4"/>
        <w:insideH w:val="single" w:sz="4" w:space="0" w:color="AFCAC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delista2-nfasis62">
    <w:name w:val="Tabla de lista 2 - Énfasis 6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4" w:space="0" w:color="C0BABA"/>
        <w:bottom w:val="single" w:sz="4" w:space="0" w:color="C0BABA"/>
        <w:insideH w:val="single" w:sz="4" w:space="0" w:color="C0BAB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delista32">
    <w:name w:val="Tabla de lista 32"/>
    <w:basedOn w:val="TableNormal"/>
    <w:next w:val="ListTable3"/>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nfasis12">
    <w:name w:val="Tabla de lista 3 - Énfasis 1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94B6D2"/>
        <w:left w:val="single" w:sz="4" w:space="0" w:color="94B6D2"/>
        <w:bottom w:val="single" w:sz="4" w:space="0" w:color="94B6D2"/>
        <w:right w:val="single" w:sz="4" w:space="0" w:color="94B6D2"/>
      </w:tblBorders>
    </w:tblPr>
    <w:tblStylePr w:type="firstRow">
      <w:rPr>
        <w:b/>
        <w:bCs/>
        <w:color w:val="FFFFFF"/>
      </w:rPr>
      <w:tblPr/>
      <w:tcPr>
        <w:shd w:val="clear" w:color="auto" w:fill="94B6D2"/>
      </w:tcPr>
    </w:tblStylePr>
    <w:tblStylePr w:type="lastRow">
      <w:rPr>
        <w:b/>
        <w:bCs/>
      </w:rPr>
      <w:tblPr/>
      <w:tcPr>
        <w:tcBorders>
          <w:top w:val="double" w:sz="4" w:space="0" w:color="94B6D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4B6D2"/>
          <w:right w:val="single" w:sz="4" w:space="0" w:color="94B6D2"/>
        </w:tcBorders>
      </w:tcPr>
    </w:tblStylePr>
    <w:tblStylePr w:type="band1Horz">
      <w:tblPr/>
      <w:tcPr>
        <w:tcBorders>
          <w:top w:val="single" w:sz="4" w:space="0" w:color="94B6D2"/>
          <w:bottom w:val="single" w:sz="4" w:space="0" w:color="94B6D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left w:val="nil"/>
        </w:tcBorders>
      </w:tcPr>
    </w:tblStylePr>
    <w:tblStylePr w:type="swCell">
      <w:tblPr/>
      <w:tcPr>
        <w:tcBorders>
          <w:top w:val="double" w:sz="4" w:space="0" w:color="94B6D2"/>
          <w:right w:val="nil"/>
        </w:tcBorders>
      </w:tcPr>
    </w:tblStylePr>
  </w:style>
  <w:style w:type="table" w:customStyle="1" w:styleId="Tabladelista3-nfasis22">
    <w:name w:val="Tabla de lista 3 - Énfasis 2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DD8047"/>
        <w:left w:val="single" w:sz="4" w:space="0" w:color="DD8047"/>
        <w:bottom w:val="single" w:sz="4" w:space="0" w:color="DD8047"/>
        <w:right w:val="single" w:sz="4" w:space="0" w:color="DD8047"/>
      </w:tblBorders>
    </w:tblPr>
    <w:tblStylePr w:type="firstRow">
      <w:rPr>
        <w:b/>
        <w:bCs/>
        <w:color w:val="FFFFFF"/>
      </w:rPr>
      <w:tblPr/>
      <w:tcPr>
        <w:shd w:val="clear" w:color="auto" w:fill="DD8047"/>
      </w:tcPr>
    </w:tblStylePr>
    <w:tblStylePr w:type="lastRow">
      <w:rPr>
        <w:b/>
        <w:bCs/>
      </w:rPr>
      <w:tblPr/>
      <w:tcPr>
        <w:tcBorders>
          <w:top w:val="double" w:sz="4" w:space="0" w:color="DD80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D8047"/>
          <w:right w:val="single" w:sz="4" w:space="0" w:color="DD8047"/>
        </w:tcBorders>
      </w:tcPr>
    </w:tblStylePr>
    <w:tblStylePr w:type="band1Horz">
      <w:tblPr/>
      <w:tcPr>
        <w:tcBorders>
          <w:top w:val="single" w:sz="4" w:space="0" w:color="DD8047"/>
          <w:bottom w:val="single" w:sz="4" w:space="0" w:color="DD80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left w:val="nil"/>
        </w:tcBorders>
      </w:tcPr>
    </w:tblStylePr>
    <w:tblStylePr w:type="swCell">
      <w:tblPr/>
      <w:tcPr>
        <w:tcBorders>
          <w:top w:val="double" w:sz="4" w:space="0" w:color="DD8047"/>
          <w:right w:val="nil"/>
        </w:tcBorders>
      </w:tcPr>
    </w:tblStylePr>
  </w:style>
  <w:style w:type="table" w:customStyle="1" w:styleId="Tabladelista3-nfasis32">
    <w:name w:val="Tabla de lista 3 - Énfasis 3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A5AB81"/>
        <w:left w:val="single" w:sz="4" w:space="0" w:color="A5AB81"/>
        <w:bottom w:val="single" w:sz="4" w:space="0" w:color="A5AB81"/>
        <w:right w:val="single" w:sz="4" w:space="0" w:color="A5AB81"/>
      </w:tblBorders>
    </w:tblPr>
    <w:tblStylePr w:type="firstRow">
      <w:rPr>
        <w:b/>
        <w:bCs/>
        <w:color w:val="FFFFFF"/>
      </w:rPr>
      <w:tblPr/>
      <w:tcPr>
        <w:shd w:val="clear" w:color="auto" w:fill="A5AB81"/>
      </w:tcPr>
    </w:tblStylePr>
    <w:tblStylePr w:type="lastRow">
      <w:rPr>
        <w:b/>
        <w:bCs/>
      </w:rPr>
      <w:tblPr/>
      <w:tcPr>
        <w:tcBorders>
          <w:top w:val="double" w:sz="4" w:space="0" w:color="A5AB8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B81"/>
          <w:right w:val="single" w:sz="4" w:space="0" w:color="A5AB81"/>
        </w:tcBorders>
      </w:tcPr>
    </w:tblStylePr>
    <w:tblStylePr w:type="band1Horz">
      <w:tblPr/>
      <w:tcPr>
        <w:tcBorders>
          <w:top w:val="single" w:sz="4" w:space="0" w:color="A5AB81"/>
          <w:bottom w:val="single" w:sz="4" w:space="0" w:color="A5AB8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left w:val="nil"/>
        </w:tcBorders>
      </w:tcPr>
    </w:tblStylePr>
    <w:tblStylePr w:type="swCell">
      <w:tblPr/>
      <w:tcPr>
        <w:tcBorders>
          <w:top w:val="double" w:sz="4" w:space="0" w:color="A5AB81"/>
          <w:right w:val="nil"/>
        </w:tcBorders>
      </w:tcPr>
    </w:tblStylePr>
  </w:style>
  <w:style w:type="table" w:customStyle="1" w:styleId="Tabladelista3-nfasis42">
    <w:name w:val="Tabla de lista 3 - Énfasis 4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D8B25C"/>
        <w:left w:val="single" w:sz="4" w:space="0" w:color="D8B25C"/>
        <w:bottom w:val="single" w:sz="4" w:space="0" w:color="D8B25C"/>
        <w:right w:val="single" w:sz="4" w:space="0" w:color="D8B25C"/>
      </w:tblBorders>
    </w:tblPr>
    <w:tblStylePr w:type="firstRow">
      <w:rPr>
        <w:b/>
        <w:bCs/>
        <w:color w:val="FFFFFF"/>
      </w:rPr>
      <w:tblPr/>
      <w:tcPr>
        <w:shd w:val="clear" w:color="auto" w:fill="D8B25C"/>
      </w:tcPr>
    </w:tblStylePr>
    <w:tblStylePr w:type="lastRow">
      <w:rPr>
        <w:b/>
        <w:bCs/>
      </w:rPr>
      <w:tblPr/>
      <w:tcPr>
        <w:tcBorders>
          <w:top w:val="double" w:sz="4" w:space="0" w:color="D8B25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8B25C"/>
          <w:right w:val="single" w:sz="4" w:space="0" w:color="D8B25C"/>
        </w:tcBorders>
      </w:tcPr>
    </w:tblStylePr>
    <w:tblStylePr w:type="band1Horz">
      <w:tblPr/>
      <w:tcPr>
        <w:tcBorders>
          <w:top w:val="single" w:sz="4" w:space="0" w:color="D8B25C"/>
          <w:bottom w:val="single" w:sz="4" w:space="0" w:color="D8B25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left w:val="nil"/>
        </w:tcBorders>
      </w:tcPr>
    </w:tblStylePr>
    <w:tblStylePr w:type="swCell">
      <w:tblPr/>
      <w:tcPr>
        <w:tcBorders>
          <w:top w:val="double" w:sz="4" w:space="0" w:color="D8B25C"/>
          <w:right w:val="nil"/>
        </w:tcBorders>
      </w:tcPr>
    </w:tblStylePr>
  </w:style>
  <w:style w:type="table" w:customStyle="1" w:styleId="Tabladelista3-nfasis52">
    <w:name w:val="Tabla de lista 3 - Énfasis 5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7BA79D"/>
        <w:left w:val="single" w:sz="4" w:space="0" w:color="7BA79D"/>
        <w:bottom w:val="single" w:sz="4" w:space="0" w:color="7BA79D"/>
        <w:right w:val="single" w:sz="4" w:space="0" w:color="7BA79D"/>
      </w:tblBorders>
    </w:tblPr>
    <w:tblStylePr w:type="firstRow">
      <w:rPr>
        <w:b/>
        <w:bCs/>
        <w:color w:val="FFFFFF"/>
      </w:rPr>
      <w:tblPr/>
      <w:tcPr>
        <w:shd w:val="clear" w:color="auto" w:fill="7BA79D"/>
      </w:tcPr>
    </w:tblStylePr>
    <w:tblStylePr w:type="lastRow">
      <w:rPr>
        <w:b/>
        <w:bCs/>
      </w:rPr>
      <w:tblPr/>
      <w:tcPr>
        <w:tcBorders>
          <w:top w:val="double" w:sz="4" w:space="0" w:color="7BA79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BA79D"/>
          <w:right w:val="single" w:sz="4" w:space="0" w:color="7BA79D"/>
        </w:tcBorders>
      </w:tcPr>
    </w:tblStylePr>
    <w:tblStylePr w:type="band1Horz">
      <w:tblPr/>
      <w:tcPr>
        <w:tcBorders>
          <w:top w:val="single" w:sz="4" w:space="0" w:color="7BA79D"/>
          <w:bottom w:val="single" w:sz="4" w:space="0" w:color="7BA79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left w:val="nil"/>
        </w:tcBorders>
      </w:tcPr>
    </w:tblStylePr>
    <w:tblStylePr w:type="swCell">
      <w:tblPr/>
      <w:tcPr>
        <w:tcBorders>
          <w:top w:val="double" w:sz="4" w:space="0" w:color="7BA79D"/>
          <w:right w:val="nil"/>
        </w:tcBorders>
      </w:tcPr>
    </w:tblStylePr>
  </w:style>
  <w:style w:type="table" w:customStyle="1" w:styleId="Tabladelista3-nfasis62">
    <w:name w:val="Tabla de lista 3 - Énfasis 6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968C8C"/>
        <w:left w:val="single" w:sz="4" w:space="0" w:color="968C8C"/>
        <w:bottom w:val="single" w:sz="4" w:space="0" w:color="968C8C"/>
        <w:right w:val="single" w:sz="4" w:space="0" w:color="968C8C"/>
      </w:tblBorders>
    </w:tblPr>
    <w:tblStylePr w:type="firstRow">
      <w:rPr>
        <w:b/>
        <w:bCs/>
        <w:color w:val="FFFFFF"/>
      </w:rPr>
      <w:tblPr/>
      <w:tcPr>
        <w:shd w:val="clear" w:color="auto" w:fill="968C8C"/>
      </w:tcPr>
    </w:tblStylePr>
    <w:tblStylePr w:type="lastRow">
      <w:rPr>
        <w:b/>
        <w:bCs/>
      </w:rPr>
      <w:tblPr/>
      <w:tcPr>
        <w:tcBorders>
          <w:top w:val="double" w:sz="4" w:space="0" w:color="968C8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68C8C"/>
          <w:right w:val="single" w:sz="4" w:space="0" w:color="968C8C"/>
        </w:tcBorders>
      </w:tcPr>
    </w:tblStylePr>
    <w:tblStylePr w:type="band1Horz">
      <w:tblPr/>
      <w:tcPr>
        <w:tcBorders>
          <w:top w:val="single" w:sz="4" w:space="0" w:color="968C8C"/>
          <w:bottom w:val="single" w:sz="4" w:space="0" w:color="968C8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left w:val="nil"/>
        </w:tcBorders>
      </w:tcPr>
    </w:tblStylePr>
    <w:tblStylePr w:type="swCell">
      <w:tblPr/>
      <w:tcPr>
        <w:tcBorders>
          <w:top w:val="double" w:sz="4" w:space="0" w:color="968C8C"/>
          <w:right w:val="nil"/>
        </w:tcBorders>
      </w:tcPr>
    </w:tblStylePr>
  </w:style>
  <w:style w:type="table" w:customStyle="1" w:styleId="Tabladelista42">
    <w:name w:val="Tabla de lista 42"/>
    <w:basedOn w:val="TableNormal"/>
    <w:next w:val="ListTable4"/>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4-nfasis12">
    <w:name w:val="Tabla de lista 4 - Énfasis 1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tcBorders>
        <w:shd w:val="clear" w:color="auto" w:fill="94B6D2"/>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delista4-nfasis22">
    <w:name w:val="Tabla de lista 4 - Énfasis 2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tcBorders>
        <w:shd w:val="clear" w:color="auto" w:fill="DD8047"/>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delista4-nfasis32">
    <w:name w:val="Tabla de lista 4 - Énfasis 3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tcBorders>
        <w:shd w:val="clear" w:color="auto" w:fill="A5AB81"/>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delista4-nfasis42">
    <w:name w:val="Tabla de lista 4 - Énfasis 4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tcBorders>
        <w:shd w:val="clear" w:color="auto" w:fill="D8B25C"/>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delista4-nfasis52">
    <w:name w:val="Tabla de lista 4 - Énfasis 5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tcBorders>
        <w:shd w:val="clear" w:color="auto" w:fill="7BA79D"/>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delista4-nfasis62">
    <w:name w:val="Tabla de lista 4 - Énfasis 6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tcBorders>
        <w:shd w:val="clear" w:color="auto" w:fill="968C8C"/>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delista5oscura2">
    <w:name w:val="Tabla de lista 5 oscura2"/>
    <w:basedOn w:val="TableNormal"/>
    <w:next w:val="ListTable5Dark"/>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12">
    <w:name w:val="Tabla de lista 5 oscura - Énfasis 1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94B6D2"/>
        <w:left w:val="single" w:sz="24" w:space="0" w:color="94B6D2"/>
        <w:bottom w:val="single" w:sz="24" w:space="0" w:color="94B6D2"/>
        <w:right w:val="single" w:sz="24" w:space="0" w:color="94B6D2"/>
      </w:tblBorders>
    </w:tblPr>
    <w:tcPr>
      <w:shd w:val="clear" w:color="auto" w:fill="94B6D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22">
    <w:name w:val="Tabla de lista 5 oscura - Énfasis 2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DD8047"/>
        <w:left w:val="single" w:sz="24" w:space="0" w:color="DD8047"/>
        <w:bottom w:val="single" w:sz="24" w:space="0" w:color="DD8047"/>
        <w:right w:val="single" w:sz="24" w:space="0" w:color="DD8047"/>
      </w:tblBorders>
    </w:tblPr>
    <w:tcPr>
      <w:shd w:val="clear" w:color="auto" w:fill="DD80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2">
    <w:name w:val="Tabla de lista 5 oscura - Énfasis 3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A5AB81"/>
        <w:left w:val="single" w:sz="24" w:space="0" w:color="A5AB81"/>
        <w:bottom w:val="single" w:sz="24" w:space="0" w:color="A5AB81"/>
        <w:right w:val="single" w:sz="24" w:space="0" w:color="A5AB81"/>
      </w:tblBorders>
    </w:tblPr>
    <w:tcPr>
      <w:shd w:val="clear" w:color="auto" w:fill="A5AB8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2">
    <w:name w:val="Tabla de lista 5 oscura - Énfasis 4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D8B25C"/>
        <w:left w:val="single" w:sz="24" w:space="0" w:color="D8B25C"/>
        <w:bottom w:val="single" w:sz="24" w:space="0" w:color="D8B25C"/>
        <w:right w:val="single" w:sz="24" w:space="0" w:color="D8B25C"/>
      </w:tblBorders>
    </w:tblPr>
    <w:tcPr>
      <w:shd w:val="clear" w:color="auto" w:fill="D8B25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2">
    <w:name w:val="Tabla de lista 5 oscura - Énfasis 5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7BA79D"/>
        <w:left w:val="single" w:sz="24" w:space="0" w:color="7BA79D"/>
        <w:bottom w:val="single" w:sz="24" w:space="0" w:color="7BA79D"/>
        <w:right w:val="single" w:sz="24" w:space="0" w:color="7BA79D"/>
      </w:tblBorders>
    </w:tblPr>
    <w:tcPr>
      <w:shd w:val="clear" w:color="auto" w:fill="7BA79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62">
    <w:name w:val="Tabla de lista 5 oscura - Énfasis 62"/>
    <w:basedOn w:val="TableNormal"/>
    <w:uiPriority w:val="50"/>
    <w:rsid w:val="0075191A"/>
    <w:rPr>
      <w:rFonts w:ascii="Century Gothic" w:eastAsia="Meiryo" w:hAnsi="Century Gothic" w:cs="Arial"/>
      <w:color w:val="FFFFFF"/>
      <w:sz w:val="20"/>
      <w:szCs w:val="20"/>
      <w:lang w:val="en-US" w:eastAsia="zh-CN"/>
    </w:rPr>
    <w:tblPr>
      <w:tblStyleRowBandSize w:val="1"/>
      <w:tblStyleColBandSize w:val="1"/>
      <w:tblBorders>
        <w:top w:val="single" w:sz="24" w:space="0" w:color="968C8C"/>
        <w:left w:val="single" w:sz="24" w:space="0" w:color="968C8C"/>
        <w:bottom w:val="single" w:sz="24" w:space="0" w:color="968C8C"/>
        <w:right w:val="single" w:sz="24" w:space="0" w:color="968C8C"/>
      </w:tblBorders>
    </w:tblPr>
    <w:tcPr>
      <w:shd w:val="clear" w:color="auto" w:fill="968C8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2">
    <w:name w:val="Tabla de lista 6 con colores2"/>
    <w:basedOn w:val="TableNormal"/>
    <w:next w:val="ListTable6Colorful"/>
    <w:uiPriority w:val="51"/>
    <w:rsid w:val="0075191A"/>
    <w:rPr>
      <w:rFonts w:ascii="Century Gothic" w:eastAsia="Meiryo" w:hAnsi="Century Gothic" w:cs="Arial"/>
      <w:color w:val="000000"/>
      <w:sz w:val="20"/>
      <w:szCs w:val="20"/>
      <w:lang w:val="en-US"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nfasis12">
    <w:name w:val="Tabla de lista 6 con colores - Énfasis 12"/>
    <w:basedOn w:val="TableNormal"/>
    <w:uiPriority w:val="51"/>
    <w:rsid w:val="0075191A"/>
    <w:rPr>
      <w:rFonts w:ascii="Century Gothic" w:eastAsia="Meiryo" w:hAnsi="Century Gothic" w:cs="Arial"/>
      <w:color w:val="548AB7"/>
      <w:sz w:val="20"/>
      <w:szCs w:val="20"/>
      <w:lang w:val="en-US" w:eastAsia="zh-CN"/>
    </w:rPr>
    <w:tblPr>
      <w:tblStyleRowBandSize w:val="1"/>
      <w:tblStyleColBandSize w:val="1"/>
      <w:tblBorders>
        <w:top w:val="single" w:sz="4" w:space="0" w:color="94B6D2"/>
        <w:bottom w:val="single" w:sz="4" w:space="0" w:color="94B6D2"/>
      </w:tblBorders>
    </w:tblPr>
    <w:tblStylePr w:type="firstRow">
      <w:rPr>
        <w:b/>
        <w:bCs/>
      </w:rPr>
      <w:tblPr/>
      <w:tcPr>
        <w:tcBorders>
          <w:bottom w:val="single" w:sz="4" w:space="0" w:color="94B6D2"/>
        </w:tcBorders>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delista6concolores-nfasis22">
    <w:name w:val="Tabla de lista 6 con colores - Énfasis 22"/>
    <w:basedOn w:val="TableNormal"/>
    <w:uiPriority w:val="51"/>
    <w:rsid w:val="0075191A"/>
    <w:rPr>
      <w:rFonts w:ascii="Century Gothic" w:eastAsia="Meiryo" w:hAnsi="Century Gothic" w:cs="Arial"/>
      <w:color w:val="B85A22"/>
      <w:sz w:val="20"/>
      <w:szCs w:val="20"/>
      <w:lang w:val="en-US" w:eastAsia="zh-CN"/>
    </w:rPr>
    <w:tblPr>
      <w:tblStyleRowBandSize w:val="1"/>
      <w:tblStyleColBandSize w:val="1"/>
      <w:tblBorders>
        <w:top w:val="single" w:sz="4" w:space="0" w:color="DD8047"/>
        <w:bottom w:val="single" w:sz="4" w:space="0" w:color="DD8047"/>
      </w:tblBorders>
    </w:tblPr>
    <w:tblStylePr w:type="firstRow">
      <w:rPr>
        <w:b/>
        <w:bCs/>
      </w:rPr>
      <w:tblPr/>
      <w:tcPr>
        <w:tcBorders>
          <w:bottom w:val="single" w:sz="4" w:space="0" w:color="DD8047"/>
        </w:tcBorders>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delista6concolores-nfasis32">
    <w:name w:val="Tabla de lista 6 con colores - Énfasis 32"/>
    <w:basedOn w:val="TableNormal"/>
    <w:uiPriority w:val="51"/>
    <w:rsid w:val="0075191A"/>
    <w:rPr>
      <w:rFonts w:ascii="Century Gothic" w:eastAsia="Meiryo" w:hAnsi="Century Gothic" w:cs="Arial"/>
      <w:color w:val="80865A"/>
      <w:sz w:val="20"/>
      <w:szCs w:val="20"/>
      <w:lang w:val="en-US" w:eastAsia="zh-CN"/>
    </w:rPr>
    <w:tblPr>
      <w:tblStyleRowBandSize w:val="1"/>
      <w:tblStyleColBandSize w:val="1"/>
      <w:tblBorders>
        <w:top w:val="single" w:sz="4" w:space="0" w:color="A5AB81"/>
        <w:bottom w:val="single" w:sz="4" w:space="0" w:color="A5AB81"/>
      </w:tblBorders>
    </w:tblPr>
    <w:tblStylePr w:type="firstRow">
      <w:rPr>
        <w:b/>
        <w:bCs/>
      </w:rPr>
      <w:tblPr/>
      <w:tcPr>
        <w:tcBorders>
          <w:bottom w:val="single" w:sz="4" w:space="0" w:color="A5AB81"/>
        </w:tcBorders>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delista6concolores-nfasis42">
    <w:name w:val="Tabla de lista 6 con colores - Énfasis 42"/>
    <w:basedOn w:val="TableNormal"/>
    <w:uiPriority w:val="51"/>
    <w:rsid w:val="0075191A"/>
    <w:rPr>
      <w:rFonts w:ascii="Century Gothic" w:eastAsia="Meiryo" w:hAnsi="Century Gothic" w:cs="Arial"/>
      <w:color w:val="BA8E2C"/>
      <w:sz w:val="20"/>
      <w:szCs w:val="20"/>
      <w:lang w:val="en-US" w:eastAsia="zh-CN"/>
    </w:rPr>
    <w:tblPr>
      <w:tblStyleRowBandSize w:val="1"/>
      <w:tblStyleColBandSize w:val="1"/>
      <w:tblBorders>
        <w:top w:val="single" w:sz="4" w:space="0" w:color="D8B25C"/>
        <w:bottom w:val="single" w:sz="4" w:space="0" w:color="D8B25C"/>
      </w:tblBorders>
    </w:tblPr>
    <w:tblStylePr w:type="firstRow">
      <w:rPr>
        <w:b/>
        <w:bCs/>
      </w:rPr>
      <w:tblPr/>
      <w:tcPr>
        <w:tcBorders>
          <w:bottom w:val="single" w:sz="4" w:space="0" w:color="D8B25C"/>
        </w:tcBorders>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delista6concolores-nfasis52">
    <w:name w:val="Tabla de lista 6 con colores - Énfasis 52"/>
    <w:basedOn w:val="TableNormal"/>
    <w:uiPriority w:val="51"/>
    <w:rsid w:val="0075191A"/>
    <w:rPr>
      <w:rFonts w:ascii="Century Gothic" w:eastAsia="Meiryo" w:hAnsi="Century Gothic" w:cs="Arial"/>
      <w:color w:val="568278"/>
      <w:sz w:val="20"/>
      <w:szCs w:val="20"/>
      <w:lang w:val="en-US" w:eastAsia="zh-CN"/>
    </w:rPr>
    <w:tblPr>
      <w:tblStyleRowBandSize w:val="1"/>
      <w:tblStyleColBandSize w:val="1"/>
      <w:tblBorders>
        <w:top w:val="single" w:sz="4" w:space="0" w:color="7BA79D"/>
        <w:bottom w:val="single" w:sz="4" w:space="0" w:color="7BA79D"/>
      </w:tblBorders>
    </w:tblPr>
    <w:tblStylePr w:type="firstRow">
      <w:rPr>
        <w:b/>
        <w:bCs/>
      </w:rPr>
      <w:tblPr/>
      <w:tcPr>
        <w:tcBorders>
          <w:bottom w:val="single" w:sz="4" w:space="0" w:color="7BA79D"/>
        </w:tcBorders>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delista6concolores-nfasis62">
    <w:name w:val="Tabla de lista 6 con colores - Énfasis 62"/>
    <w:basedOn w:val="TableNormal"/>
    <w:uiPriority w:val="51"/>
    <w:rsid w:val="0075191A"/>
    <w:rPr>
      <w:rFonts w:ascii="Century Gothic" w:eastAsia="Meiryo" w:hAnsi="Century Gothic" w:cs="Arial"/>
      <w:color w:val="716767"/>
      <w:sz w:val="20"/>
      <w:szCs w:val="20"/>
      <w:lang w:val="en-US" w:eastAsia="zh-CN"/>
    </w:rPr>
    <w:tblPr>
      <w:tblStyleRowBandSize w:val="1"/>
      <w:tblStyleColBandSize w:val="1"/>
      <w:tblBorders>
        <w:top w:val="single" w:sz="4" w:space="0" w:color="968C8C"/>
        <w:bottom w:val="single" w:sz="4" w:space="0" w:color="968C8C"/>
      </w:tblBorders>
    </w:tblPr>
    <w:tblStylePr w:type="firstRow">
      <w:rPr>
        <w:b/>
        <w:bCs/>
      </w:rPr>
      <w:tblPr/>
      <w:tcPr>
        <w:tcBorders>
          <w:bottom w:val="single" w:sz="4" w:space="0" w:color="968C8C"/>
        </w:tcBorders>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delista7concolores2">
    <w:name w:val="Tabla de lista 7 con colores2"/>
    <w:basedOn w:val="TableNormal"/>
    <w:next w:val="ListTable7Colorful"/>
    <w:uiPriority w:val="52"/>
    <w:rsid w:val="0075191A"/>
    <w:rPr>
      <w:rFonts w:ascii="Century Gothic" w:eastAsia="Meiryo" w:hAnsi="Century Gothic" w:cs="Arial"/>
      <w:color w:val="000000"/>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000000"/>
        </w:tcBorders>
        <w:shd w:val="clear" w:color="auto" w:fill="FFFFFF"/>
      </w:tcPr>
    </w:tblStylePr>
    <w:tblStylePr w:type="lastRow">
      <w:rPr>
        <w:rFonts w:ascii="Sitka Text Semibold" w:eastAsia="NSimSun" w:hAnsi="Sitka Text Semibold" w:cs="Times New Roman"/>
        <w:i/>
        <w:iCs/>
        <w:sz w:val="26"/>
      </w:rPr>
      <w:tblPr/>
      <w:tcPr>
        <w:tcBorders>
          <w:top w:val="single" w:sz="4" w:space="0" w:color="000000"/>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000000"/>
        </w:tcBorders>
        <w:shd w:val="clear" w:color="auto" w:fill="FFFFFF"/>
      </w:tcPr>
    </w:tblStylePr>
    <w:tblStylePr w:type="lastCol">
      <w:rPr>
        <w:rFonts w:ascii="Sitka Text Semibold" w:eastAsia="NSimSun" w:hAnsi="Sitka Text Semibold"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eNormal"/>
    <w:uiPriority w:val="52"/>
    <w:rsid w:val="0075191A"/>
    <w:rPr>
      <w:rFonts w:ascii="Century Gothic" w:eastAsia="Meiryo" w:hAnsi="Century Gothic" w:cs="Arial"/>
      <w:color w:val="548AB7"/>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94B6D2"/>
        </w:tcBorders>
        <w:shd w:val="clear" w:color="auto" w:fill="FFFFFF"/>
      </w:tcPr>
    </w:tblStylePr>
    <w:tblStylePr w:type="lastRow">
      <w:rPr>
        <w:rFonts w:ascii="Sitka Text Semibold" w:eastAsia="NSimSun" w:hAnsi="Sitka Text Semibold" w:cs="Times New Roman"/>
        <w:i/>
        <w:iCs/>
        <w:sz w:val="26"/>
      </w:rPr>
      <w:tblPr/>
      <w:tcPr>
        <w:tcBorders>
          <w:top w:val="single" w:sz="4" w:space="0" w:color="94B6D2"/>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94B6D2"/>
        </w:tcBorders>
        <w:shd w:val="clear" w:color="auto" w:fill="FFFFFF"/>
      </w:tcPr>
    </w:tblStylePr>
    <w:tblStylePr w:type="lastCol">
      <w:rPr>
        <w:rFonts w:ascii="Sitka Text Semibold" w:eastAsia="NSimSun" w:hAnsi="Sitka Text Semibold" w:cs="Times New Roman"/>
        <w:i/>
        <w:iCs/>
        <w:sz w:val="26"/>
      </w:rPr>
      <w:tblPr/>
      <w:tcPr>
        <w:tcBorders>
          <w:left w:val="single" w:sz="4" w:space="0" w:color="94B6D2"/>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22">
    <w:name w:val="Tabla de lista 7 con colores - Énfasis 22"/>
    <w:basedOn w:val="TableNormal"/>
    <w:uiPriority w:val="52"/>
    <w:rsid w:val="0075191A"/>
    <w:rPr>
      <w:rFonts w:ascii="Century Gothic" w:eastAsia="Meiryo" w:hAnsi="Century Gothic" w:cs="Arial"/>
      <w:color w:val="B85A22"/>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DD8047"/>
        </w:tcBorders>
        <w:shd w:val="clear" w:color="auto" w:fill="FFFFFF"/>
      </w:tcPr>
    </w:tblStylePr>
    <w:tblStylePr w:type="lastRow">
      <w:rPr>
        <w:rFonts w:ascii="Sitka Text Semibold" w:eastAsia="NSimSun" w:hAnsi="Sitka Text Semibold" w:cs="Times New Roman"/>
        <w:i/>
        <w:iCs/>
        <w:sz w:val="26"/>
      </w:rPr>
      <w:tblPr/>
      <w:tcPr>
        <w:tcBorders>
          <w:top w:val="single" w:sz="4" w:space="0" w:color="DD8047"/>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DD8047"/>
        </w:tcBorders>
        <w:shd w:val="clear" w:color="auto" w:fill="FFFFFF"/>
      </w:tcPr>
    </w:tblStylePr>
    <w:tblStylePr w:type="lastCol">
      <w:rPr>
        <w:rFonts w:ascii="Sitka Text Semibold" w:eastAsia="NSimSun" w:hAnsi="Sitka Text Semibold" w:cs="Times New Roman"/>
        <w:i/>
        <w:iCs/>
        <w:sz w:val="26"/>
      </w:rPr>
      <w:tblPr/>
      <w:tcPr>
        <w:tcBorders>
          <w:left w:val="single" w:sz="4" w:space="0" w:color="DD8047"/>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2">
    <w:name w:val="Tabla de lista 7 con colores - Énfasis 32"/>
    <w:basedOn w:val="TableNormal"/>
    <w:uiPriority w:val="52"/>
    <w:rsid w:val="0075191A"/>
    <w:rPr>
      <w:rFonts w:ascii="Century Gothic" w:eastAsia="Meiryo" w:hAnsi="Century Gothic" w:cs="Arial"/>
      <w:color w:val="80865A"/>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A5AB81"/>
        </w:tcBorders>
        <w:shd w:val="clear" w:color="auto" w:fill="FFFFFF"/>
      </w:tcPr>
    </w:tblStylePr>
    <w:tblStylePr w:type="lastRow">
      <w:rPr>
        <w:rFonts w:ascii="Sitka Text Semibold" w:eastAsia="NSimSun" w:hAnsi="Sitka Text Semibold" w:cs="Times New Roman"/>
        <w:i/>
        <w:iCs/>
        <w:sz w:val="26"/>
      </w:rPr>
      <w:tblPr/>
      <w:tcPr>
        <w:tcBorders>
          <w:top w:val="single" w:sz="4" w:space="0" w:color="A5AB81"/>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A5AB81"/>
        </w:tcBorders>
        <w:shd w:val="clear" w:color="auto" w:fill="FFFFFF"/>
      </w:tcPr>
    </w:tblStylePr>
    <w:tblStylePr w:type="lastCol">
      <w:rPr>
        <w:rFonts w:ascii="Sitka Text Semibold" w:eastAsia="NSimSun" w:hAnsi="Sitka Text Semibold" w:cs="Times New Roman"/>
        <w:i/>
        <w:iCs/>
        <w:sz w:val="26"/>
      </w:rPr>
      <w:tblPr/>
      <w:tcPr>
        <w:tcBorders>
          <w:left w:val="single" w:sz="4" w:space="0" w:color="A5AB81"/>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42">
    <w:name w:val="Tabla de lista 7 con colores - Énfasis 42"/>
    <w:basedOn w:val="TableNormal"/>
    <w:uiPriority w:val="52"/>
    <w:rsid w:val="0075191A"/>
    <w:rPr>
      <w:rFonts w:ascii="Century Gothic" w:eastAsia="Meiryo" w:hAnsi="Century Gothic" w:cs="Arial"/>
      <w:color w:val="BA8E2C"/>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D8B25C"/>
        </w:tcBorders>
        <w:shd w:val="clear" w:color="auto" w:fill="FFFFFF"/>
      </w:tcPr>
    </w:tblStylePr>
    <w:tblStylePr w:type="lastRow">
      <w:rPr>
        <w:rFonts w:ascii="Sitka Text Semibold" w:eastAsia="NSimSun" w:hAnsi="Sitka Text Semibold" w:cs="Times New Roman"/>
        <w:i/>
        <w:iCs/>
        <w:sz w:val="26"/>
      </w:rPr>
      <w:tblPr/>
      <w:tcPr>
        <w:tcBorders>
          <w:top w:val="single" w:sz="4" w:space="0" w:color="D8B25C"/>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D8B25C"/>
        </w:tcBorders>
        <w:shd w:val="clear" w:color="auto" w:fill="FFFFFF"/>
      </w:tcPr>
    </w:tblStylePr>
    <w:tblStylePr w:type="lastCol">
      <w:rPr>
        <w:rFonts w:ascii="Sitka Text Semibold" w:eastAsia="NSimSun" w:hAnsi="Sitka Text Semibold" w:cs="Times New Roman"/>
        <w:i/>
        <w:iCs/>
        <w:sz w:val="26"/>
      </w:rPr>
      <w:tblPr/>
      <w:tcPr>
        <w:tcBorders>
          <w:left w:val="single" w:sz="4" w:space="0" w:color="D8B25C"/>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52">
    <w:name w:val="Tabla de lista 7 con colores - Énfasis 52"/>
    <w:basedOn w:val="TableNormal"/>
    <w:uiPriority w:val="52"/>
    <w:rsid w:val="0075191A"/>
    <w:rPr>
      <w:rFonts w:ascii="Century Gothic" w:eastAsia="Meiryo" w:hAnsi="Century Gothic" w:cs="Arial"/>
      <w:color w:val="568278"/>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7BA79D"/>
        </w:tcBorders>
        <w:shd w:val="clear" w:color="auto" w:fill="FFFFFF"/>
      </w:tcPr>
    </w:tblStylePr>
    <w:tblStylePr w:type="lastRow">
      <w:rPr>
        <w:rFonts w:ascii="Sitka Text Semibold" w:eastAsia="NSimSun" w:hAnsi="Sitka Text Semibold" w:cs="Times New Roman"/>
        <w:i/>
        <w:iCs/>
        <w:sz w:val="26"/>
      </w:rPr>
      <w:tblPr/>
      <w:tcPr>
        <w:tcBorders>
          <w:top w:val="single" w:sz="4" w:space="0" w:color="7BA79D"/>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7BA79D"/>
        </w:tcBorders>
        <w:shd w:val="clear" w:color="auto" w:fill="FFFFFF"/>
      </w:tcPr>
    </w:tblStylePr>
    <w:tblStylePr w:type="lastCol">
      <w:rPr>
        <w:rFonts w:ascii="Sitka Text Semibold" w:eastAsia="NSimSun" w:hAnsi="Sitka Text Semibold" w:cs="Times New Roman"/>
        <w:i/>
        <w:iCs/>
        <w:sz w:val="26"/>
      </w:rPr>
      <w:tblPr/>
      <w:tcPr>
        <w:tcBorders>
          <w:left w:val="single" w:sz="4" w:space="0" w:color="7BA79D"/>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2">
    <w:name w:val="Tabla de lista 7 con colores - Énfasis 62"/>
    <w:basedOn w:val="TableNormal"/>
    <w:uiPriority w:val="52"/>
    <w:rsid w:val="0075191A"/>
    <w:rPr>
      <w:rFonts w:ascii="Century Gothic" w:eastAsia="Meiryo" w:hAnsi="Century Gothic" w:cs="Arial"/>
      <w:color w:val="716767"/>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968C8C"/>
        </w:tcBorders>
        <w:shd w:val="clear" w:color="auto" w:fill="FFFFFF"/>
      </w:tcPr>
    </w:tblStylePr>
    <w:tblStylePr w:type="lastRow">
      <w:rPr>
        <w:rFonts w:ascii="Sitka Text Semibold" w:eastAsia="NSimSun" w:hAnsi="Sitka Text Semibold" w:cs="Times New Roman"/>
        <w:i/>
        <w:iCs/>
        <w:sz w:val="26"/>
      </w:rPr>
      <w:tblPr/>
      <w:tcPr>
        <w:tcBorders>
          <w:top w:val="single" w:sz="4" w:space="0" w:color="968C8C"/>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968C8C"/>
        </w:tcBorders>
        <w:shd w:val="clear" w:color="auto" w:fill="FFFFFF"/>
      </w:tcPr>
    </w:tblStylePr>
    <w:tblStylePr w:type="lastCol">
      <w:rPr>
        <w:rFonts w:ascii="Sitka Text Semibold" w:eastAsia="NSimSun" w:hAnsi="Sitka Text Semibold" w:cs="Times New Roman"/>
        <w:i/>
        <w:iCs/>
        <w:sz w:val="26"/>
      </w:rPr>
      <w:tblPr/>
      <w:tcPr>
        <w:tcBorders>
          <w:left w:val="single" w:sz="4" w:space="0" w:color="968C8C"/>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olumnas11">
    <w:name w:val="Tabla con columnas 11"/>
    <w:basedOn w:val="TableNormal"/>
    <w:next w:val="TableColumns1"/>
    <w:uiPriority w:val="99"/>
    <w:semiHidden/>
    <w:unhideWhenUsed/>
    <w:rsid w:val="0075191A"/>
    <w:rPr>
      <w:rFonts w:ascii="Century Gothic" w:eastAsia="Meiryo" w:hAnsi="Century Gothic" w:cs="Arial"/>
      <w:b/>
      <w:bCs/>
      <w:sz w:val="20"/>
      <w:szCs w:val="20"/>
      <w:lang w:val="en-US"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eNormal"/>
    <w:next w:val="TableColumns2"/>
    <w:uiPriority w:val="99"/>
    <w:semiHidden/>
    <w:unhideWhenUsed/>
    <w:rsid w:val="0075191A"/>
    <w:rPr>
      <w:rFonts w:ascii="Century Gothic" w:eastAsia="Meiryo" w:hAnsi="Century Gothic" w:cs="Arial"/>
      <w:b/>
      <w:bCs/>
      <w:sz w:val="20"/>
      <w:szCs w:val="20"/>
      <w:lang w:val="en-US"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31">
    <w:name w:val="Tabla con columnas 31"/>
    <w:basedOn w:val="TableNormal"/>
    <w:next w:val="TableColumns3"/>
    <w:uiPriority w:val="99"/>
    <w:semiHidden/>
    <w:unhideWhenUsed/>
    <w:rsid w:val="0075191A"/>
    <w:rPr>
      <w:rFonts w:ascii="Century Gothic" w:eastAsia="Meiryo" w:hAnsi="Century Gothic" w:cs="Arial"/>
      <w:b/>
      <w:bCs/>
      <w:sz w:val="20"/>
      <w:szCs w:val="20"/>
      <w:lang w:val="en-US"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aconcolumnas41">
    <w:name w:val="Tabla con columnas 41"/>
    <w:basedOn w:val="TableNormal"/>
    <w:next w:val="TableColumns4"/>
    <w:uiPriority w:val="99"/>
    <w:semiHidden/>
    <w:unhideWhenUsed/>
    <w:rsid w:val="0075191A"/>
    <w:rPr>
      <w:rFonts w:ascii="Century Gothic" w:eastAsia="Meiryo" w:hAnsi="Century Gothic" w:cs="Arial"/>
      <w:sz w:val="20"/>
      <w:szCs w:val="20"/>
      <w:lang w:val="en-US"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columnas51">
    <w:name w:val="Tabla con columnas 51"/>
    <w:basedOn w:val="TableNormal"/>
    <w:next w:val="TableColumns5"/>
    <w:uiPriority w:val="99"/>
    <w:semiHidden/>
    <w:unhideWhenUsed/>
    <w:rsid w:val="0075191A"/>
    <w:rPr>
      <w:rFonts w:ascii="Century Gothic" w:eastAsia="Meiryo" w:hAnsi="Century Gothic" w:cs="Arial"/>
      <w:sz w:val="20"/>
      <w:szCs w:val="20"/>
      <w:lang w:val="en-US"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absica11">
    <w:name w:val="Tabla básica 11"/>
    <w:basedOn w:val="TableNormal"/>
    <w:next w:val="TableSimple1"/>
    <w:uiPriority w:val="99"/>
    <w:semiHidden/>
    <w:unhideWhenUsed/>
    <w:rsid w:val="0075191A"/>
    <w:rPr>
      <w:rFonts w:ascii="Century Gothic" w:eastAsia="Meiryo" w:hAnsi="Century Gothic" w:cs="Arial"/>
      <w:sz w:val="20"/>
      <w:szCs w:val="20"/>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eNormal"/>
    <w:next w:val="TableSimple2"/>
    <w:uiPriority w:val="99"/>
    <w:semiHidden/>
    <w:unhideWhenUsed/>
    <w:rsid w:val="0075191A"/>
    <w:rPr>
      <w:rFonts w:ascii="Century Gothic" w:eastAsia="Meiryo" w:hAnsi="Century Gothic" w:cs="Arial"/>
      <w:sz w:val="20"/>
      <w:szCs w:val="20"/>
      <w:lang w:val="en-US"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1">
    <w:name w:val="Tabla básica 31"/>
    <w:basedOn w:val="TableNormal"/>
    <w:next w:val="TableSimple3"/>
    <w:uiPriority w:val="99"/>
    <w:semiHidden/>
    <w:unhideWhenUsed/>
    <w:rsid w:val="0075191A"/>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sutil11">
    <w:name w:val="Tabla sutil 11"/>
    <w:basedOn w:val="TableNormal"/>
    <w:next w:val="TableSubtle1"/>
    <w:uiPriority w:val="99"/>
    <w:semiHidden/>
    <w:unhideWhenUsed/>
    <w:rsid w:val="0075191A"/>
    <w:rPr>
      <w:rFonts w:ascii="Century Gothic" w:eastAsia="Meiryo" w:hAnsi="Century Gothic" w:cs="Arial"/>
      <w:sz w:val="20"/>
      <w:szCs w:val="20"/>
      <w:lang w:val="en-US"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sutil21">
    <w:name w:val="Tabla sutil 21"/>
    <w:basedOn w:val="TableNormal"/>
    <w:next w:val="TableSubtle2"/>
    <w:uiPriority w:val="99"/>
    <w:semiHidden/>
    <w:unhideWhenUsed/>
    <w:rsid w:val="0075191A"/>
    <w:rPr>
      <w:rFonts w:ascii="Century Gothic" w:eastAsia="Meiryo" w:hAnsi="Century Gothic" w:cs="Arial"/>
      <w:sz w:val="20"/>
      <w:szCs w:val="20"/>
      <w:lang w:val="en-US"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0">
    <w:name w:val="Tabla con cuadrícula 11"/>
    <w:basedOn w:val="TableNormal"/>
    <w:next w:val="TableGrid1"/>
    <w:uiPriority w:val="99"/>
    <w:semiHidden/>
    <w:unhideWhenUsed/>
    <w:rsid w:val="0075191A"/>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uadrculadetabla21">
    <w:name w:val="Cuadrícula de tabla 21"/>
    <w:basedOn w:val="TableNormal"/>
    <w:next w:val="TableGrid2"/>
    <w:uiPriority w:val="99"/>
    <w:semiHidden/>
    <w:unhideWhenUsed/>
    <w:rsid w:val="0075191A"/>
    <w:rPr>
      <w:rFonts w:ascii="Century Gothic" w:eastAsia="Meiryo" w:hAnsi="Century Gothic" w:cs="Arial"/>
      <w:sz w:val="20"/>
      <w:szCs w:val="20"/>
      <w:lang w:val="en-US"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31">
    <w:name w:val="Cuadrícula de tabla 31"/>
    <w:basedOn w:val="TableNormal"/>
    <w:next w:val="TableGrid3"/>
    <w:uiPriority w:val="99"/>
    <w:semiHidden/>
    <w:unhideWhenUsed/>
    <w:rsid w:val="0075191A"/>
    <w:rPr>
      <w:rFonts w:ascii="Century Gothic" w:eastAsia="Meiryo" w:hAnsi="Century Gothic" w:cs="Arial"/>
      <w:sz w:val="20"/>
      <w:szCs w:val="20"/>
      <w:lang w:val="en-US"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41">
    <w:name w:val="Cuadrícula de tabla 41"/>
    <w:basedOn w:val="TableNormal"/>
    <w:next w:val="TableGrid4"/>
    <w:uiPriority w:val="99"/>
    <w:semiHidden/>
    <w:unhideWhenUsed/>
    <w:rsid w:val="0075191A"/>
    <w:rPr>
      <w:rFonts w:ascii="Century Gothic" w:eastAsia="Meiryo" w:hAnsi="Century Gothic" w:cs="Arial"/>
      <w:sz w:val="20"/>
      <w:szCs w:val="20"/>
      <w:lang w:val="en-US"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aconcuadrcula51">
    <w:name w:val="Tabla con cuadrícula 51"/>
    <w:basedOn w:val="TableNormal"/>
    <w:next w:val="TableGrid5"/>
    <w:uiPriority w:val="99"/>
    <w:semiHidden/>
    <w:unhideWhenUsed/>
    <w:rsid w:val="0075191A"/>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61">
    <w:name w:val="Tabla con cuadrícula 61"/>
    <w:basedOn w:val="TableNormal"/>
    <w:next w:val="TableGrid6"/>
    <w:uiPriority w:val="99"/>
    <w:semiHidden/>
    <w:unhideWhenUsed/>
    <w:rsid w:val="0075191A"/>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71">
    <w:name w:val="Tabla con cuadrícula 71"/>
    <w:basedOn w:val="TableNormal"/>
    <w:next w:val="TableGrid7"/>
    <w:uiPriority w:val="99"/>
    <w:semiHidden/>
    <w:unhideWhenUsed/>
    <w:rsid w:val="0075191A"/>
    <w:rPr>
      <w:rFonts w:ascii="Century Gothic" w:eastAsia="Meiryo" w:hAnsi="Century Gothic" w:cs="Arial"/>
      <w:b/>
      <w:bCs/>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81">
    <w:name w:val="Tabla con cuadrícula 81"/>
    <w:basedOn w:val="TableNormal"/>
    <w:next w:val="TableGrid8"/>
    <w:uiPriority w:val="99"/>
    <w:semiHidden/>
    <w:unhideWhenUsed/>
    <w:rsid w:val="0075191A"/>
    <w:rPr>
      <w:rFonts w:ascii="Century Gothic" w:eastAsia="Meiryo" w:hAnsi="Century Gothic" w:cs="Arial"/>
      <w:sz w:val="20"/>
      <w:szCs w:val="20"/>
      <w:lang w:val="en-US"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cuadrculaclara2">
    <w:name w:val="Tabla con cuadrícula clara2"/>
    <w:basedOn w:val="TableNormal"/>
    <w:uiPriority w:val="40"/>
    <w:rsid w:val="0075191A"/>
    <w:rPr>
      <w:rFonts w:ascii="Century Gothic" w:eastAsia="Meiryo" w:hAnsi="Century Gothic" w:cs="Arial"/>
      <w:sz w:val="20"/>
      <w:szCs w:val="20"/>
      <w:lang w:val="en-US"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clara2">
    <w:name w:val="Tabla con cuadrícula 1 clara2"/>
    <w:basedOn w:val="TableNormal"/>
    <w:next w:val="GridTable1Light"/>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1clara-nfasis12">
    <w:name w:val="Tabla con cuadrícula 1 clara - Énfasis 1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D4E1ED"/>
        <w:left w:val="single" w:sz="4" w:space="0" w:color="D4E1ED"/>
        <w:bottom w:val="single" w:sz="4" w:space="0" w:color="D4E1ED"/>
        <w:right w:val="single" w:sz="4" w:space="0" w:color="D4E1ED"/>
        <w:insideH w:val="single" w:sz="4" w:space="0" w:color="D4E1ED"/>
        <w:insideV w:val="single" w:sz="4" w:space="0" w:color="D4E1ED"/>
      </w:tblBorders>
    </w:tblPr>
    <w:tblStylePr w:type="firstRow">
      <w:rPr>
        <w:b/>
        <w:bCs/>
      </w:rPr>
      <w:tblPr/>
      <w:tcPr>
        <w:tcBorders>
          <w:bottom w:val="single" w:sz="12" w:space="0" w:color="BED3E4"/>
        </w:tcBorders>
      </w:tcPr>
    </w:tblStylePr>
    <w:tblStylePr w:type="lastRow">
      <w:rPr>
        <w:b/>
        <w:bCs/>
      </w:rPr>
      <w:tblPr/>
      <w:tcPr>
        <w:tcBorders>
          <w:top w:val="double" w:sz="2" w:space="0" w:color="BED3E4"/>
        </w:tcBorders>
      </w:tcPr>
    </w:tblStylePr>
    <w:tblStylePr w:type="firstCol">
      <w:rPr>
        <w:b/>
        <w:bCs/>
      </w:rPr>
    </w:tblStylePr>
    <w:tblStylePr w:type="lastCol">
      <w:rPr>
        <w:b/>
        <w:bCs/>
      </w:rPr>
    </w:tblStylePr>
  </w:style>
  <w:style w:type="table" w:customStyle="1" w:styleId="Tablaconcuadrcula1Claro-nfasis22">
    <w:name w:val="Tabla con cuadrícula 1 Claro - Énfasis 2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F1CBB5"/>
        <w:left w:val="single" w:sz="4" w:space="0" w:color="F1CBB5"/>
        <w:bottom w:val="single" w:sz="4" w:space="0" w:color="F1CBB5"/>
        <w:right w:val="single" w:sz="4" w:space="0" w:color="F1CBB5"/>
        <w:insideH w:val="single" w:sz="4" w:space="0" w:color="F1CBB5"/>
        <w:insideV w:val="single" w:sz="4" w:space="0" w:color="F1CBB5"/>
      </w:tblBorders>
    </w:tblPr>
    <w:tblStylePr w:type="firstRow">
      <w:rPr>
        <w:b/>
        <w:bCs/>
      </w:rPr>
      <w:tblPr/>
      <w:tcPr>
        <w:tcBorders>
          <w:bottom w:val="single" w:sz="12" w:space="0" w:color="EAB290"/>
        </w:tcBorders>
      </w:tcPr>
    </w:tblStylePr>
    <w:tblStylePr w:type="lastRow">
      <w:rPr>
        <w:b/>
        <w:bCs/>
      </w:rPr>
      <w:tblPr/>
      <w:tcPr>
        <w:tcBorders>
          <w:top w:val="double" w:sz="2" w:space="0" w:color="EAB290"/>
        </w:tcBorders>
      </w:tcPr>
    </w:tblStylePr>
    <w:tblStylePr w:type="firstCol">
      <w:rPr>
        <w:b/>
        <w:bCs/>
      </w:rPr>
    </w:tblStylePr>
    <w:tblStylePr w:type="lastCol">
      <w:rPr>
        <w:b/>
        <w:bCs/>
      </w:rPr>
    </w:tblStylePr>
  </w:style>
  <w:style w:type="table" w:customStyle="1" w:styleId="Tablaconcuadrcula1clara-nfasis32">
    <w:name w:val="Tabla con cuadrícula 1 clara - Énfasis 3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DBDDCC"/>
        <w:left w:val="single" w:sz="4" w:space="0" w:color="DBDDCC"/>
        <w:bottom w:val="single" w:sz="4" w:space="0" w:color="DBDDCC"/>
        <w:right w:val="single" w:sz="4" w:space="0" w:color="DBDDCC"/>
        <w:insideH w:val="single" w:sz="4" w:space="0" w:color="DBDDCC"/>
        <w:insideV w:val="single" w:sz="4" w:space="0" w:color="DBDDCC"/>
      </w:tblBorders>
    </w:tblPr>
    <w:tblStylePr w:type="firstRow">
      <w:rPr>
        <w:b/>
        <w:bCs/>
      </w:rPr>
      <w:tblPr/>
      <w:tcPr>
        <w:tcBorders>
          <w:bottom w:val="single" w:sz="12" w:space="0" w:color="C8CCB3"/>
        </w:tcBorders>
      </w:tcPr>
    </w:tblStylePr>
    <w:tblStylePr w:type="lastRow">
      <w:rPr>
        <w:b/>
        <w:bCs/>
      </w:rPr>
      <w:tblPr/>
      <w:tcPr>
        <w:tcBorders>
          <w:top w:val="double" w:sz="2" w:space="0" w:color="C8CCB3"/>
        </w:tcBorders>
      </w:tcPr>
    </w:tblStylePr>
    <w:tblStylePr w:type="firstCol">
      <w:rPr>
        <w:b/>
        <w:bCs/>
      </w:rPr>
    </w:tblStylePr>
    <w:tblStylePr w:type="lastCol">
      <w:rPr>
        <w:b/>
        <w:bCs/>
      </w:rPr>
    </w:tblStylePr>
  </w:style>
  <w:style w:type="table" w:customStyle="1" w:styleId="Tablaconcuadrcula1clara-nfasis42">
    <w:name w:val="Tabla con cuadrícula 1 clara - Énfasis 4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EFE0BD"/>
        <w:left w:val="single" w:sz="4" w:space="0" w:color="EFE0BD"/>
        <w:bottom w:val="single" w:sz="4" w:space="0" w:color="EFE0BD"/>
        <w:right w:val="single" w:sz="4" w:space="0" w:color="EFE0BD"/>
        <w:insideH w:val="single" w:sz="4" w:space="0" w:color="EFE0BD"/>
        <w:insideV w:val="single" w:sz="4" w:space="0" w:color="EFE0BD"/>
      </w:tblBorders>
    </w:tblPr>
    <w:tblStylePr w:type="firstRow">
      <w:rPr>
        <w:b/>
        <w:bCs/>
      </w:rPr>
      <w:tblPr/>
      <w:tcPr>
        <w:tcBorders>
          <w:bottom w:val="single" w:sz="12" w:space="0" w:color="E7D09D"/>
        </w:tcBorders>
      </w:tcPr>
    </w:tblStylePr>
    <w:tblStylePr w:type="lastRow">
      <w:rPr>
        <w:b/>
        <w:bCs/>
      </w:rPr>
      <w:tblPr/>
      <w:tcPr>
        <w:tcBorders>
          <w:top w:val="double" w:sz="2" w:space="0" w:color="E7D09D"/>
        </w:tcBorders>
      </w:tcPr>
    </w:tblStylePr>
    <w:tblStylePr w:type="firstCol">
      <w:rPr>
        <w:b/>
        <w:bCs/>
      </w:rPr>
    </w:tblStylePr>
    <w:tblStylePr w:type="lastCol">
      <w:rPr>
        <w:b/>
        <w:bCs/>
      </w:rPr>
    </w:tblStylePr>
  </w:style>
  <w:style w:type="table" w:customStyle="1" w:styleId="Tablaconcuadrcula1clara-nfasis52">
    <w:name w:val="Tabla con cuadrícula 1 clara - Énfasis 5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Pr>
    <w:tblStylePr w:type="firstRow">
      <w:rPr>
        <w:b/>
        <w:bCs/>
      </w:rPr>
      <w:tblPr/>
      <w:tcPr>
        <w:tcBorders>
          <w:bottom w:val="single" w:sz="12" w:space="0" w:color="AFCAC4"/>
        </w:tcBorders>
      </w:tcPr>
    </w:tblStylePr>
    <w:tblStylePr w:type="lastRow">
      <w:rPr>
        <w:b/>
        <w:bCs/>
      </w:rPr>
      <w:tblPr/>
      <w:tcPr>
        <w:tcBorders>
          <w:top w:val="double" w:sz="2" w:space="0" w:color="AFCAC4"/>
        </w:tcBorders>
      </w:tcPr>
    </w:tblStylePr>
    <w:tblStylePr w:type="firstCol">
      <w:rPr>
        <w:b/>
        <w:bCs/>
      </w:rPr>
    </w:tblStylePr>
    <w:tblStylePr w:type="lastCol">
      <w:rPr>
        <w:b/>
        <w:bCs/>
      </w:rPr>
    </w:tblStylePr>
  </w:style>
  <w:style w:type="table" w:customStyle="1" w:styleId="Tablaconcuadrcula1clara-nfasis62">
    <w:name w:val="Tabla con cuadrícula 1 clara - Énfasis 62"/>
    <w:basedOn w:val="TableNormal"/>
    <w:uiPriority w:val="46"/>
    <w:rsid w:val="0075191A"/>
    <w:rPr>
      <w:rFonts w:ascii="Century Gothic" w:eastAsia="Meiryo" w:hAnsi="Century Gothic" w:cs="Arial"/>
      <w:sz w:val="20"/>
      <w:szCs w:val="20"/>
      <w:lang w:val="en-US" w:eastAsia="zh-CN"/>
    </w:rPr>
    <w:tblPr>
      <w:tblStyleRowBandSize w:val="1"/>
      <w:tblStyleColBandSize w:val="1"/>
      <w:tblBorders>
        <w:top w:val="single" w:sz="4" w:space="0" w:color="D5D1D1"/>
        <w:left w:val="single" w:sz="4" w:space="0" w:color="D5D1D1"/>
        <w:bottom w:val="single" w:sz="4" w:space="0" w:color="D5D1D1"/>
        <w:right w:val="single" w:sz="4" w:space="0" w:color="D5D1D1"/>
        <w:insideH w:val="single" w:sz="4" w:space="0" w:color="D5D1D1"/>
        <w:insideV w:val="single" w:sz="4" w:space="0" w:color="D5D1D1"/>
      </w:tblBorders>
    </w:tblPr>
    <w:tblStylePr w:type="firstRow">
      <w:rPr>
        <w:b/>
        <w:bCs/>
      </w:rPr>
      <w:tblPr/>
      <w:tcPr>
        <w:tcBorders>
          <w:bottom w:val="single" w:sz="12" w:space="0" w:color="C0BABA"/>
        </w:tcBorders>
      </w:tcPr>
    </w:tblStylePr>
    <w:tblStylePr w:type="lastRow">
      <w:rPr>
        <w:b/>
        <w:bCs/>
      </w:rPr>
      <w:tblPr/>
      <w:tcPr>
        <w:tcBorders>
          <w:top w:val="double" w:sz="2" w:space="0" w:color="C0BABA"/>
        </w:tcBorders>
      </w:tcPr>
    </w:tblStylePr>
    <w:tblStylePr w:type="firstCol">
      <w:rPr>
        <w:b/>
        <w:bCs/>
      </w:rPr>
    </w:tblStylePr>
    <w:tblStylePr w:type="lastCol">
      <w:rPr>
        <w:b/>
        <w:bCs/>
      </w:rPr>
    </w:tblStylePr>
  </w:style>
  <w:style w:type="table" w:customStyle="1" w:styleId="Tabladecuadrcula22">
    <w:name w:val="Tabla de cuadrícula 22"/>
    <w:basedOn w:val="TableNormal"/>
    <w:next w:val="GridTable2"/>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2-nfasis12">
    <w:name w:val="Tabla con cuadrícula 2 - Énfasis 1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BED3E4"/>
        <w:bottom w:val="single" w:sz="2" w:space="0" w:color="BED3E4"/>
        <w:insideH w:val="single" w:sz="2" w:space="0" w:color="BED3E4"/>
        <w:insideV w:val="single" w:sz="2" w:space="0" w:color="BED3E4"/>
      </w:tblBorders>
    </w:tblPr>
    <w:tblStylePr w:type="firstRow">
      <w:rPr>
        <w:b/>
        <w:bCs/>
      </w:rPr>
      <w:tblPr/>
      <w:tcPr>
        <w:tcBorders>
          <w:top w:val="nil"/>
          <w:bottom w:val="single" w:sz="12" w:space="0" w:color="BED3E4"/>
          <w:insideH w:val="nil"/>
          <w:insideV w:val="nil"/>
        </w:tcBorders>
        <w:shd w:val="clear" w:color="auto" w:fill="FFFFFF"/>
      </w:tcPr>
    </w:tblStylePr>
    <w:tblStylePr w:type="lastRow">
      <w:rPr>
        <w:b/>
        <w:bCs/>
      </w:rPr>
      <w:tblPr/>
      <w:tcPr>
        <w:tcBorders>
          <w:top w:val="double" w:sz="2" w:space="0" w:color="BED3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concuadrcula2-nfasis22">
    <w:name w:val="Tabla con cuadrícula 2 - Énfasis 2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EAB290"/>
        <w:bottom w:val="single" w:sz="2" w:space="0" w:color="EAB290"/>
        <w:insideH w:val="single" w:sz="2" w:space="0" w:color="EAB290"/>
        <w:insideV w:val="single" w:sz="2" w:space="0" w:color="EAB290"/>
      </w:tblBorders>
    </w:tblPr>
    <w:tblStylePr w:type="firstRow">
      <w:rPr>
        <w:b/>
        <w:bCs/>
      </w:rPr>
      <w:tblPr/>
      <w:tcPr>
        <w:tcBorders>
          <w:top w:val="nil"/>
          <w:bottom w:val="single" w:sz="12" w:space="0" w:color="EAB290"/>
          <w:insideH w:val="nil"/>
          <w:insideV w:val="nil"/>
        </w:tcBorders>
        <w:shd w:val="clear" w:color="auto" w:fill="FFFFFF"/>
      </w:tcPr>
    </w:tblStylePr>
    <w:tblStylePr w:type="lastRow">
      <w:rPr>
        <w:b/>
        <w:bCs/>
      </w:rPr>
      <w:tblPr/>
      <w:tcPr>
        <w:tcBorders>
          <w:top w:val="double" w:sz="2" w:space="0" w:color="EAB29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concuadrcula2-nfasis32">
    <w:name w:val="Tabla con cuadrícula 2 - Énfasis 3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C8CCB3"/>
        <w:bottom w:val="single" w:sz="2" w:space="0" w:color="C8CCB3"/>
        <w:insideH w:val="single" w:sz="2" w:space="0" w:color="C8CCB3"/>
        <w:insideV w:val="single" w:sz="2" w:space="0" w:color="C8CCB3"/>
      </w:tblBorders>
    </w:tblPr>
    <w:tblStylePr w:type="firstRow">
      <w:rPr>
        <w:b/>
        <w:bCs/>
      </w:rPr>
      <w:tblPr/>
      <w:tcPr>
        <w:tcBorders>
          <w:top w:val="nil"/>
          <w:bottom w:val="single" w:sz="12" w:space="0" w:color="C8CCB3"/>
          <w:insideH w:val="nil"/>
          <w:insideV w:val="nil"/>
        </w:tcBorders>
        <w:shd w:val="clear" w:color="auto" w:fill="FFFFFF"/>
      </w:tcPr>
    </w:tblStylePr>
    <w:tblStylePr w:type="lastRow">
      <w:rPr>
        <w:b/>
        <w:bCs/>
      </w:rPr>
      <w:tblPr/>
      <w:tcPr>
        <w:tcBorders>
          <w:top w:val="double" w:sz="2" w:space="0" w:color="C8CCB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concuadrcula2-nfasis42">
    <w:name w:val="Tabla con cuadrícula 2 - Énfasis 4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E7D09D"/>
        <w:bottom w:val="single" w:sz="2" w:space="0" w:color="E7D09D"/>
        <w:insideH w:val="single" w:sz="2" w:space="0" w:color="E7D09D"/>
        <w:insideV w:val="single" w:sz="2" w:space="0" w:color="E7D09D"/>
      </w:tblBorders>
    </w:tblPr>
    <w:tblStylePr w:type="firstRow">
      <w:rPr>
        <w:b/>
        <w:bCs/>
      </w:rPr>
      <w:tblPr/>
      <w:tcPr>
        <w:tcBorders>
          <w:top w:val="nil"/>
          <w:bottom w:val="single" w:sz="12" w:space="0" w:color="E7D09D"/>
          <w:insideH w:val="nil"/>
          <w:insideV w:val="nil"/>
        </w:tcBorders>
        <w:shd w:val="clear" w:color="auto" w:fill="FFFFFF"/>
      </w:tcPr>
    </w:tblStylePr>
    <w:tblStylePr w:type="lastRow">
      <w:rPr>
        <w:b/>
        <w:bCs/>
      </w:rPr>
      <w:tblPr/>
      <w:tcPr>
        <w:tcBorders>
          <w:top w:val="double" w:sz="2" w:space="0" w:color="E7D09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concuadrcula2-nfasis52">
    <w:name w:val="Tabla con cuadrícula 2 - Énfasis 5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AFCAC4"/>
        <w:bottom w:val="single" w:sz="2" w:space="0" w:color="AFCAC4"/>
        <w:insideH w:val="single" w:sz="2" w:space="0" w:color="AFCAC4"/>
        <w:insideV w:val="single" w:sz="2" w:space="0" w:color="AFCAC4"/>
      </w:tblBorders>
    </w:tblPr>
    <w:tblStylePr w:type="firstRow">
      <w:rPr>
        <w:b/>
        <w:bCs/>
      </w:rPr>
      <w:tblPr/>
      <w:tcPr>
        <w:tcBorders>
          <w:top w:val="nil"/>
          <w:bottom w:val="single" w:sz="12" w:space="0" w:color="AFCAC4"/>
          <w:insideH w:val="nil"/>
          <w:insideV w:val="nil"/>
        </w:tcBorders>
        <w:shd w:val="clear" w:color="auto" w:fill="FFFFFF"/>
      </w:tcPr>
    </w:tblStylePr>
    <w:tblStylePr w:type="lastRow">
      <w:rPr>
        <w:b/>
        <w:bCs/>
      </w:rPr>
      <w:tblPr/>
      <w:tcPr>
        <w:tcBorders>
          <w:top w:val="double" w:sz="2" w:space="0" w:color="AFCAC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concuadrcula2-nfasis62">
    <w:name w:val="Tabla con cuadrícula 2 - Énfasis 62"/>
    <w:basedOn w:val="TableNormal"/>
    <w:uiPriority w:val="47"/>
    <w:rsid w:val="0075191A"/>
    <w:rPr>
      <w:rFonts w:ascii="Century Gothic" w:eastAsia="Meiryo" w:hAnsi="Century Gothic" w:cs="Arial"/>
      <w:sz w:val="20"/>
      <w:szCs w:val="20"/>
      <w:lang w:val="en-US" w:eastAsia="zh-CN"/>
    </w:rPr>
    <w:tblPr>
      <w:tblStyleRowBandSize w:val="1"/>
      <w:tblStyleColBandSize w:val="1"/>
      <w:tblBorders>
        <w:top w:val="single" w:sz="2" w:space="0" w:color="C0BABA"/>
        <w:bottom w:val="single" w:sz="2" w:space="0" w:color="C0BABA"/>
        <w:insideH w:val="single" w:sz="2" w:space="0" w:color="C0BABA"/>
        <w:insideV w:val="single" w:sz="2" w:space="0" w:color="C0BABA"/>
      </w:tblBorders>
    </w:tblPr>
    <w:tblStylePr w:type="firstRow">
      <w:rPr>
        <w:b/>
        <w:bCs/>
      </w:rPr>
      <w:tblPr/>
      <w:tcPr>
        <w:tcBorders>
          <w:top w:val="nil"/>
          <w:bottom w:val="single" w:sz="12" w:space="0" w:color="C0BABA"/>
          <w:insideH w:val="nil"/>
          <w:insideV w:val="nil"/>
        </w:tcBorders>
        <w:shd w:val="clear" w:color="auto" w:fill="FFFFFF"/>
      </w:tcPr>
    </w:tblStylePr>
    <w:tblStylePr w:type="lastRow">
      <w:rPr>
        <w:b/>
        <w:bCs/>
      </w:rPr>
      <w:tblPr/>
      <w:tcPr>
        <w:tcBorders>
          <w:top w:val="double" w:sz="2" w:space="0" w:color="C0BAB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decuadrcula32">
    <w:name w:val="Tabla de cuadrícula 32"/>
    <w:basedOn w:val="TableNormal"/>
    <w:next w:val="GridTable3"/>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3-nfasis12">
    <w:name w:val="Tabla con cuadrícula 3 - Énfasis 1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Tablaconcuadrcula3-nfasis22">
    <w:name w:val="Tabla con cuadrícula 3 - Énfasis 2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Tablaconcuadrcula3-nfasis32">
    <w:name w:val="Tabla con cuadrícula 3 - Énfasis 3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Tablaconcuadrcula3-nfasis42">
    <w:name w:val="Tabla con cuadrícula 3 - Énfasis 4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Tablaconcuadrcula3-nfasis52">
    <w:name w:val="Tabla con cuadrícula 3 - Énfasis 5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Tablaconcuadrcula3-nfasis62">
    <w:name w:val="Tabla con cuadrícula 3 - Énfasis 62"/>
    <w:basedOn w:val="TableNormal"/>
    <w:uiPriority w:val="48"/>
    <w:rsid w:val="0075191A"/>
    <w:rPr>
      <w:rFonts w:ascii="Century Gothic" w:eastAsia="Meiryo" w:hAnsi="Century Gothic" w:cs="Arial"/>
      <w:sz w:val="20"/>
      <w:szCs w:val="20"/>
      <w:lang w:val="en-US" w:eastAsia="zh-CN"/>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table" w:customStyle="1" w:styleId="Tabladecuadrcula42">
    <w:name w:val="Tabla de cuadrícula 42"/>
    <w:basedOn w:val="TableNormal"/>
    <w:next w:val="GridTable4"/>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12">
    <w:name w:val="Tabla con cuadrícula 4 - Énfasis 1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insideV w:val="nil"/>
        </w:tcBorders>
        <w:shd w:val="clear" w:color="auto" w:fill="94B6D2"/>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concuadrcula4-nfasis22">
    <w:name w:val="Tabla con cuadrícula 4 - Énfasis 2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insideV w:val="nil"/>
        </w:tcBorders>
        <w:shd w:val="clear" w:color="auto" w:fill="DD8047"/>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concuadrcula4-nfasis32">
    <w:name w:val="Tabla con cuadrícula 4 - Énfasis 3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insideV w:val="nil"/>
        </w:tcBorders>
        <w:shd w:val="clear" w:color="auto" w:fill="A5AB81"/>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concuadrcula4-nfasis42">
    <w:name w:val="Tabla con cuadrícula 4 - Énfasis 4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insideV w:val="nil"/>
        </w:tcBorders>
        <w:shd w:val="clear" w:color="auto" w:fill="D8B25C"/>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concuadrcula4-nfasis52">
    <w:name w:val="Tabla con cuadrícula 4 - Énfasis 5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insideV w:val="nil"/>
        </w:tcBorders>
        <w:shd w:val="clear" w:color="auto" w:fill="7BA79D"/>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concuadrcula4-nfasis62">
    <w:name w:val="Tabla con cuadrícula 4 - Énfasis 62"/>
    <w:basedOn w:val="TableNormal"/>
    <w:uiPriority w:val="49"/>
    <w:rsid w:val="0075191A"/>
    <w:rPr>
      <w:rFonts w:ascii="Century Gothic" w:eastAsia="Meiryo" w:hAnsi="Century Gothic" w:cs="Arial"/>
      <w:sz w:val="20"/>
      <w:szCs w:val="20"/>
      <w:lang w:val="en-US" w:eastAsia="zh-CN"/>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concuadrcula5oscura2">
    <w:name w:val="Tabla con cuadrícula 5 oscura2"/>
    <w:basedOn w:val="TableNormal"/>
    <w:next w:val="GridTable5Dark"/>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concuadrcula5oscura-nfasis12">
    <w:name w:val="Tabla con cuadrícula 5 oscura - Énfasis 1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9F0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4B6D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4B6D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4B6D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4B6D2"/>
      </w:tcPr>
    </w:tblStylePr>
    <w:tblStylePr w:type="band1Vert">
      <w:tblPr/>
      <w:tcPr>
        <w:shd w:val="clear" w:color="auto" w:fill="D4E1ED"/>
      </w:tcPr>
    </w:tblStylePr>
    <w:tblStylePr w:type="band1Horz">
      <w:tblPr/>
      <w:tcPr>
        <w:shd w:val="clear" w:color="auto" w:fill="D4E1ED"/>
      </w:tcPr>
    </w:tblStylePr>
  </w:style>
  <w:style w:type="table" w:customStyle="1" w:styleId="Tablaconcuadrcula5oscura-nfasis22">
    <w:name w:val="Tabla con cuadrícula 5 oscura - Énfasis 2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E5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80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80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80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8047"/>
      </w:tcPr>
    </w:tblStylePr>
    <w:tblStylePr w:type="band1Vert">
      <w:tblPr/>
      <w:tcPr>
        <w:shd w:val="clear" w:color="auto" w:fill="F1CBB5"/>
      </w:tcPr>
    </w:tblStylePr>
    <w:tblStylePr w:type="band1Horz">
      <w:tblPr/>
      <w:tcPr>
        <w:shd w:val="clear" w:color="auto" w:fill="F1CBB5"/>
      </w:tcPr>
    </w:tblStylePr>
  </w:style>
  <w:style w:type="table" w:customStyle="1" w:styleId="Tablaconcuadrcula5oscura-nfasis32">
    <w:name w:val="Tabla con cuadrícula 5 oscura - Énfasis 3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E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B8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B8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B8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B81"/>
      </w:tcPr>
    </w:tblStylePr>
    <w:tblStylePr w:type="band1Vert">
      <w:tblPr/>
      <w:tcPr>
        <w:shd w:val="clear" w:color="auto" w:fill="DBDDCC"/>
      </w:tcPr>
    </w:tblStylePr>
    <w:tblStylePr w:type="band1Horz">
      <w:tblPr/>
      <w:tcPr>
        <w:shd w:val="clear" w:color="auto" w:fill="DBDDCC"/>
      </w:tcPr>
    </w:tblStylePr>
  </w:style>
  <w:style w:type="table" w:customStyle="1" w:styleId="Tablaconcuadrcula5oscura-nfasis42">
    <w:name w:val="Tabla con cuadrícula 5 oscura - Énfasis 4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7EF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8B25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8B25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8B25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8B25C"/>
      </w:tcPr>
    </w:tblStylePr>
    <w:tblStylePr w:type="band1Vert">
      <w:tblPr/>
      <w:tcPr>
        <w:shd w:val="clear" w:color="auto" w:fill="EFE0BD"/>
      </w:tcPr>
    </w:tblStylePr>
    <w:tblStylePr w:type="band1Horz">
      <w:tblPr/>
      <w:tcPr>
        <w:shd w:val="clear" w:color="auto" w:fill="EFE0BD"/>
      </w:tcPr>
    </w:tblStylePr>
  </w:style>
  <w:style w:type="table" w:customStyle="1" w:styleId="Tablaconcuadrcula5oscura-nfasis52">
    <w:name w:val="Tabla con cuadrícula 5 oscura - Énfasis 5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D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BA79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BA79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BA79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BA79D"/>
      </w:tcPr>
    </w:tblStylePr>
    <w:tblStylePr w:type="band1Vert">
      <w:tblPr/>
      <w:tcPr>
        <w:shd w:val="clear" w:color="auto" w:fill="CADBD7"/>
      </w:tcPr>
    </w:tblStylePr>
    <w:tblStylePr w:type="band1Horz">
      <w:tblPr/>
      <w:tcPr>
        <w:shd w:val="clear" w:color="auto" w:fill="CADBD7"/>
      </w:tcPr>
    </w:tblStylePr>
  </w:style>
  <w:style w:type="table" w:customStyle="1" w:styleId="Tablaconcuadrcula5oscura-nfasis62">
    <w:name w:val="Tabla con cuadrícula 5 oscura - Énfasis 62"/>
    <w:basedOn w:val="TableNormal"/>
    <w:uiPriority w:val="50"/>
    <w:rsid w:val="0075191A"/>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customStyle="1" w:styleId="Tablaconcuadrcula6concolores2">
    <w:name w:val="Tabla con cuadrícula 6 con colores2"/>
    <w:basedOn w:val="TableNormal"/>
    <w:next w:val="GridTable6Colorful"/>
    <w:uiPriority w:val="51"/>
    <w:rsid w:val="0075191A"/>
    <w:rPr>
      <w:rFonts w:ascii="Century Gothic" w:eastAsia="Meiryo" w:hAnsi="Century Gothic" w:cs="Arial"/>
      <w:color w:val="000000"/>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6concolores-nfasis12">
    <w:name w:val="Tabla con cuadrícula 6 con colores - Énfasis 12"/>
    <w:basedOn w:val="TableNormal"/>
    <w:uiPriority w:val="51"/>
    <w:rsid w:val="0075191A"/>
    <w:rPr>
      <w:rFonts w:ascii="Century Gothic" w:eastAsia="Meiryo" w:hAnsi="Century Gothic" w:cs="Arial"/>
      <w:color w:val="548AB7"/>
      <w:sz w:val="20"/>
      <w:szCs w:val="20"/>
      <w:lang w:val="en-US" w:eastAsia="zh-CN"/>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bottom w:val="single" w:sz="12" w:space="0" w:color="BED3E4"/>
        </w:tcBorders>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Tablaconcuadrcula6concolores-nfasis22">
    <w:name w:val="Tabla con cuadrícula 6 con colores - Énfasis 22"/>
    <w:basedOn w:val="TableNormal"/>
    <w:uiPriority w:val="51"/>
    <w:rsid w:val="0075191A"/>
    <w:rPr>
      <w:rFonts w:ascii="Century Gothic" w:eastAsia="Meiryo" w:hAnsi="Century Gothic" w:cs="Arial"/>
      <w:color w:val="B85A22"/>
      <w:sz w:val="20"/>
      <w:szCs w:val="20"/>
      <w:lang w:val="en-US" w:eastAsia="zh-CN"/>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bottom w:val="single" w:sz="12" w:space="0" w:color="EAB290"/>
        </w:tcBorders>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Tablaconcuadrcula6concolores-nfasis32">
    <w:name w:val="Tabla con cuadrícula 6 con colores - Énfasis 32"/>
    <w:basedOn w:val="TableNormal"/>
    <w:uiPriority w:val="51"/>
    <w:rsid w:val="0075191A"/>
    <w:rPr>
      <w:rFonts w:ascii="Century Gothic" w:eastAsia="Meiryo" w:hAnsi="Century Gothic" w:cs="Arial"/>
      <w:color w:val="80865A"/>
      <w:sz w:val="20"/>
      <w:szCs w:val="20"/>
      <w:lang w:val="en-US" w:eastAsia="zh-CN"/>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bottom w:val="single" w:sz="12" w:space="0" w:color="C8CCB3"/>
        </w:tcBorders>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Tablaconcuadrcula6concolores-nfasis42">
    <w:name w:val="Tabla con cuadrícula 6 con colores - Énfasis 42"/>
    <w:basedOn w:val="TableNormal"/>
    <w:uiPriority w:val="51"/>
    <w:rsid w:val="0075191A"/>
    <w:rPr>
      <w:rFonts w:ascii="Century Gothic" w:eastAsia="Meiryo" w:hAnsi="Century Gothic" w:cs="Arial"/>
      <w:color w:val="BA8E2C"/>
      <w:sz w:val="20"/>
      <w:szCs w:val="20"/>
      <w:lang w:val="en-US" w:eastAsia="zh-CN"/>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bottom w:val="single" w:sz="12" w:space="0" w:color="E7D09D"/>
        </w:tcBorders>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Tablaconcuadrcula6concolores-nfasis52">
    <w:name w:val="Tabla con cuadrícula 6 con colores - Énfasis 52"/>
    <w:basedOn w:val="TableNormal"/>
    <w:uiPriority w:val="51"/>
    <w:rsid w:val="0075191A"/>
    <w:rPr>
      <w:rFonts w:ascii="Century Gothic" w:eastAsia="Meiryo" w:hAnsi="Century Gothic" w:cs="Arial"/>
      <w:color w:val="568278"/>
      <w:sz w:val="20"/>
      <w:szCs w:val="20"/>
      <w:lang w:val="en-US" w:eastAsia="zh-CN"/>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bottom w:val="single" w:sz="12" w:space="0" w:color="AFCAC4"/>
        </w:tcBorders>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Tablaconcuadrcula6concolores-nfasis62">
    <w:name w:val="Tabla con cuadrícula 6 con colores - Énfasis 62"/>
    <w:basedOn w:val="TableNormal"/>
    <w:uiPriority w:val="51"/>
    <w:rsid w:val="0075191A"/>
    <w:rPr>
      <w:rFonts w:ascii="Century Gothic" w:eastAsia="Meiryo" w:hAnsi="Century Gothic" w:cs="Arial"/>
      <w:color w:val="716767"/>
      <w:sz w:val="20"/>
      <w:szCs w:val="20"/>
      <w:lang w:val="en-US" w:eastAsia="zh-CN"/>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bottom w:val="single" w:sz="12" w:space="0" w:color="C0BABA"/>
        </w:tcBorders>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Tablaconcuadrcula7concolores2">
    <w:name w:val="Tabla con cuadrícula 7 con colores2"/>
    <w:basedOn w:val="TableNormal"/>
    <w:next w:val="GridTable7Colorful"/>
    <w:uiPriority w:val="52"/>
    <w:rsid w:val="0075191A"/>
    <w:rPr>
      <w:rFonts w:ascii="Century Gothic" w:eastAsia="Meiryo" w:hAnsi="Century Gothic" w:cs="Arial"/>
      <w:color w:val="000000"/>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7concolores-nfasis12">
    <w:name w:val="Tabla con cuadrícula 7 con colores - Énfasis 12"/>
    <w:basedOn w:val="TableNormal"/>
    <w:uiPriority w:val="52"/>
    <w:rsid w:val="0075191A"/>
    <w:rPr>
      <w:rFonts w:ascii="Century Gothic" w:eastAsia="Meiryo" w:hAnsi="Century Gothic" w:cs="Arial"/>
      <w:color w:val="548AB7"/>
      <w:sz w:val="20"/>
      <w:szCs w:val="20"/>
      <w:lang w:val="en-US" w:eastAsia="zh-CN"/>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Tablaconcuadrcula7concolores-nfasis22">
    <w:name w:val="Tabla con cuadrícula 7 con colores - Énfasis 22"/>
    <w:basedOn w:val="TableNormal"/>
    <w:uiPriority w:val="52"/>
    <w:rsid w:val="0075191A"/>
    <w:rPr>
      <w:rFonts w:ascii="Century Gothic" w:eastAsia="Meiryo" w:hAnsi="Century Gothic" w:cs="Arial"/>
      <w:color w:val="B85A22"/>
      <w:sz w:val="20"/>
      <w:szCs w:val="20"/>
      <w:lang w:val="en-US" w:eastAsia="zh-CN"/>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Tablaconcuadrcula7concolores-nfasis32">
    <w:name w:val="Tabla con cuadrícula 7 con colores - Énfasis 32"/>
    <w:basedOn w:val="TableNormal"/>
    <w:uiPriority w:val="52"/>
    <w:rsid w:val="0075191A"/>
    <w:rPr>
      <w:rFonts w:ascii="Century Gothic" w:eastAsia="Meiryo" w:hAnsi="Century Gothic" w:cs="Arial"/>
      <w:color w:val="80865A"/>
      <w:sz w:val="20"/>
      <w:szCs w:val="20"/>
      <w:lang w:val="en-US" w:eastAsia="zh-CN"/>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Tablaconcuadrcula7concolores-nfasis42">
    <w:name w:val="Tabla con cuadrícula 7 con colores - Énfasis 42"/>
    <w:basedOn w:val="TableNormal"/>
    <w:uiPriority w:val="52"/>
    <w:rsid w:val="0075191A"/>
    <w:rPr>
      <w:rFonts w:ascii="Century Gothic" w:eastAsia="Meiryo" w:hAnsi="Century Gothic" w:cs="Arial"/>
      <w:color w:val="BA8E2C"/>
      <w:sz w:val="20"/>
      <w:szCs w:val="20"/>
      <w:lang w:val="en-US" w:eastAsia="zh-CN"/>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Tablaconcuadrcula7concolores-nfasis52">
    <w:name w:val="Tabla con cuadrícula 7 con colores - Énfasis 52"/>
    <w:basedOn w:val="TableNormal"/>
    <w:uiPriority w:val="52"/>
    <w:rsid w:val="0075191A"/>
    <w:rPr>
      <w:rFonts w:ascii="Century Gothic" w:eastAsia="Meiryo" w:hAnsi="Century Gothic" w:cs="Arial"/>
      <w:color w:val="568278"/>
      <w:sz w:val="20"/>
      <w:szCs w:val="20"/>
      <w:lang w:val="en-US" w:eastAsia="zh-CN"/>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Tablaconcuadrcula7concolores-nfasis62">
    <w:name w:val="Tabla con cuadrícula 7 con colores - Énfasis 62"/>
    <w:basedOn w:val="TableNormal"/>
    <w:uiPriority w:val="52"/>
    <w:rsid w:val="0075191A"/>
    <w:rPr>
      <w:rFonts w:ascii="Century Gothic" w:eastAsia="Meiryo" w:hAnsi="Century Gothic" w:cs="Arial"/>
      <w:color w:val="716767"/>
      <w:sz w:val="20"/>
      <w:szCs w:val="20"/>
      <w:lang w:val="en-US" w:eastAsia="zh-CN"/>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table" w:customStyle="1" w:styleId="Tablaweb11">
    <w:name w:val="Tabla web 11"/>
    <w:basedOn w:val="TableNormal"/>
    <w:next w:val="TableWeb1"/>
    <w:uiPriority w:val="99"/>
    <w:semiHidden/>
    <w:unhideWhenUsed/>
    <w:rsid w:val="0075191A"/>
    <w:rPr>
      <w:rFonts w:ascii="Century Gothic" w:eastAsia="Meiryo" w:hAnsi="Century Gothic" w:cs="Arial"/>
      <w:sz w:val="20"/>
      <w:szCs w:val="20"/>
      <w:lang w:val="en-US"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eNormal"/>
    <w:next w:val="TableWeb2"/>
    <w:uiPriority w:val="99"/>
    <w:semiHidden/>
    <w:unhideWhenUsed/>
    <w:rsid w:val="0075191A"/>
    <w:rPr>
      <w:rFonts w:ascii="Century Gothic" w:eastAsia="Meiryo" w:hAnsi="Century Gothic" w:cs="Arial"/>
      <w:sz w:val="20"/>
      <w:szCs w:val="20"/>
      <w:lang w:val="en-US"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31">
    <w:name w:val="Tabla web 31"/>
    <w:basedOn w:val="TableNormal"/>
    <w:next w:val="TableWeb3"/>
    <w:uiPriority w:val="99"/>
    <w:semiHidden/>
    <w:unhideWhenUsed/>
    <w:rsid w:val="0075191A"/>
    <w:rPr>
      <w:rFonts w:ascii="Century Gothic" w:eastAsia="Meiryo" w:hAnsi="Century Gothic" w:cs="Arial"/>
      <w:sz w:val="20"/>
      <w:szCs w:val="20"/>
      <w:lang w:val="en-US"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efectos3D11">
    <w:name w:val="Tabla con efectos 3D 11"/>
    <w:basedOn w:val="TableNormal"/>
    <w:next w:val="Table3Deffects1"/>
    <w:uiPriority w:val="99"/>
    <w:semiHidden/>
    <w:unhideWhenUsed/>
    <w:rsid w:val="0075191A"/>
    <w:rPr>
      <w:rFonts w:ascii="Century Gothic" w:eastAsia="Meiryo" w:hAnsi="Century Gothic" w:cs="Arial"/>
      <w:sz w:val="20"/>
      <w:szCs w:val="20"/>
      <w:lang w:val="en-US"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onefectos3D21">
    <w:name w:val="Tabla con efectos 3D 21"/>
    <w:basedOn w:val="TableNormal"/>
    <w:next w:val="Table3Deffects2"/>
    <w:uiPriority w:val="99"/>
    <w:semiHidden/>
    <w:unhideWhenUsed/>
    <w:rsid w:val="0075191A"/>
    <w:rPr>
      <w:rFonts w:ascii="Century Gothic" w:eastAsia="Meiryo" w:hAnsi="Century Gothic" w:cs="Arial"/>
      <w:sz w:val="20"/>
      <w:szCs w:val="20"/>
      <w:lang w:val="en-US"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efectos3D31">
    <w:name w:val="Tabla con efectos 3D 31"/>
    <w:basedOn w:val="TableNormal"/>
    <w:next w:val="Table3Deffects3"/>
    <w:uiPriority w:val="99"/>
    <w:semiHidden/>
    <w:unhideWhenUsed/>
    <w:rsid w:val="0075191A"/>
    <w:rPr>
      <w:rFonts w:ascii="Century Gothic" w:eastAsia="Meiryo" w:hAnsi="Century Gothic" w:cs="Arial"/>
      <w:sz w:val="20"/>
      <w:szCs w:val="20"/>
      <w:lang w:val="en-US"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tema1">
    <w:name w:val="Tabla con tema1"/>
    <w:basedOn w:val="TableNormal"/>
    <w:next w:val="TableTheme"/>
    <w:uiPriority w:val="99"/>
    <w:semiHidden/>
    <w:unhideWhenUsed/>
    <w:rsid w:val="0075191A"/>
    <w:rPr>
      <w:rFonts w:ascii="Century Gothic" w:eastAsia="Meiryo" w:hAnsi="Century Gothic"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NoList"/>
    <w:uiPriority w:val="99"/>
    <w:semiHidden/>
    <w:unhideWhenUsed/>
    <w:rsid w:val="00233AC6"/>
  </w:style>
  <w:style w:type="table" w:customStyle="1" w:styleId="Tablaconcuadrcula3">
    <w:name w:val="Tabla con cuadrícula3"/>
    <w:basedOn w:val="TableNormal"/>
    <w:next w:val="TableGrid"/>
    <w:uiPriority w:val="39"/>
    <w:rsid w:val="00233AC6"/>
    <w:rPr>
      <w:rFonts w:ascii="Century Gothic" w:eastAsia="Meiryo" w:hAnsi="Century Gothic"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2">
    <w:name w:val="Tabla profesional2"/>
    <w:basedOn w:val="TableNormal"/>
    <w:next w:val="TableProfessional"/>
    <w:uiPriority w:val="99"/>
    <w:semiHidden/>
    <w:unhideWhenUsed/>
    <w:rsid w:val="00233AC6"/>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stamedia12">
    <w:name w:val="Lista media 12"/>
    <w:basedOn w:val="TableNormal"/>
    <w:next w:val="MediumList1"/>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000000"/>
        <w:bottom w:val="single" w:sz="8" w:space="0" w:color="000000"/>
      </w:tblBorders>
    </w:tblPr>
    <w:tblStylePr w:type="firstRow">
      <w:rPr>
        <w:rFonts w:ascii="Sitka Text Semibold" w:eastAsia="NSimSun" w:hAnsi="Sitka Text Semibold" w:cs="Times New Roman"/>
      </w:rPr>
      <w:tblPr/>
      <w:tcPr>
        <w:tcBorders>
          <w:top w:val="nil"/>
          <w:bottom w:val="single" w:sz="8" w:space="0" w:color="000000"/>
        </w:tcBorders>
      </w:tcPr>
    </w:tblStylePr>
    <w:tblStylePr w:type="lastRow">
      <w:rPr>
        <w:b/>
        <w:bCs/>
        <w:color w:val="775F5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2">
    <w:name w:val="Lista media 1 - Énfasis 12"/>
    <w:basedOn w:val="TableNormal"/>
    <w:next w:val="MediumList1-Accent1"/>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94B6D2"/>
        <w:bottom w:val="single" w:sz="8" w:space="0" w:color="94B6D2"/>
      </w:tblBorders>
    </w:tblPr>
    <w:tblStylePr w:type="firstRow">
      <w:rPr>
        <w:rFonts w:ascii="Sitka Text Semibold" w:eastAsia="NSimSun" w:hAnsi="Sitka Text Semibold" w:cs="Times New Roman"/>
      </w:rPr>
      <w:tblPr/>
      <w:tcPr>
        <w:tcBorders>
          <w:top w:val="nil"/>
          <w:bottom w:val="single" w:sz="8" w:space="0" w:color="94B6D2"/>
        </w:tcBorders>
      </w:tcPr>
    </w:tblStylePr>
    <w:tblStylePr w:type="lastRow">
      <w:rPr>
        <w:b/>
        <w:bCs/>
        <w:color w:val="775F55"/>
      </w:rPr>
      <w:tblPr/>
      <w:tcPr>
        <w:tcBorders>
          <w:top w:val="single" w:sz="8" w:space="0" w:color="94B6D2"/>
          <w:bottom w:val="single" w:sz="8" w:space="0" w:color="94B6D2"/>
        </w:tcBorders>
      </w:tcPr>
    </w:tblStylePr>
    <w:tblStylePr w:type="firstCol">
      <w:rPr>
        <w:b/>
        <w:bCs/>
      </w:rPr>
    </w:tblStylePr>
    <w:tblStylePr w:type="lastCol">
      <w:rPr>
        <w:b/>
        <w:bCs/>
      </w:rPr>
      <w:tblPr/>
      <w:tcPr>
        <w:tcBorders>
          <w:top w:val="single" w:sz="8" w:space="0" w:color="94B6D2"/>
          <w:bottom w:val="single" w:sz="8" w:space="0" w:color="94B6D2"/>
        </w:tcBorders>
      </w:tcPr>
    </w:tblStylePr>
    <w:tblStylePr w:type="band1Vert">
      <w:tblPr/>
      <w:tcPr>
        <w:shd w:val="clear" w:color="auto" w:fill="E4ECF4"/>
      </w:tcPr>
    </w:tblStylePr>
    <w:tblStylePr w:type="band1Horz">
      <w:tblPr/>
      <w:tcPr>
        <w:shd w:val="clear" w:color="auto" w:fill="E4ECF4"/>
      </w:tcPr>
    </w:tblStylePr>
  </w:style>
  <w:style w:type="table" w:customStyle="1" w:styleId="Listamedia1-nfasis22">
    <w:name w:val="Lista media 1 - Énfasis 22"/>
    <w:basedOn w:val="TableNormal"/>
    <w:next w:val="MediumList1-Accent2"/>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DD8047"/>
        <w:bottom w:val="single" w:sz="8" w:space="0" w:color="DD8047"/>
      </w:tblBorders>
    </w:tblPr>
    <w:tblStylePr w:type="firstRow">
      <w:rPr>
        <w:rFonts w:ascii="Sitka Text Semibold" w:eastAsia="NSimSun" w:hAnsi="Sitka Text Semibold" w:cs="Times New Roman"/>
      </w:rPr>
      <w:tblPr/>
      <w:tcPr>
        <w:tcBorders>
          <w:top w:val="nil"/>
          <w:bottom w:val="single" w:sz="8" w:space="0" w:color="DD8047"/>
        </w:tcBorders>
      </w:tcPr>
    </w:tblStylePr>
    <w:tblStylePr w:type="lastRow">
      <w:rPr>
        <w:b/>
        <w:bCs/>
        <w:color w:val="775F55"/>
      </w:rPr>
      <w:tblPr/>
      <w:tcPr>
        <w:tcBorders>
          <w:top w:val="single" w:sz="8" w:space="0" w:color="DD8047"/>
          <w:bottom w:val="single" w:sz="8" w:space="0" w:color="DD8047"/>
        </w:tcBorders>
      </w:tcPr>
    </w:tblStylePr>
    <w:tblStylePr w:type="firstCol">
      <w:rPr>
        <w:b/>
        <w:bCs/>
      </w:rPr>
    </w:tblStylePr>
    <w:tblStylePr w:type="lastCol">
      <w:rPr>
        <w:b/>
        <w:bCs/>
      </w:rPr>
      <w:tblPr/>
      <w:tcPr>
        <w:tcBorders>
          <w:top w:val="single" w:sz="8" w:space="0" w:color="DD8047"/>
          <w:bottom w:val="single" w:sz="8" w:space="0" w:color="DD8047"/>
        </w:tcBorders>
      </w:tcPr>
    </w:tblStylePr>
    <w:tblStylePr w:type="band1Vert">
      <w:tblPr/>
      <w:tcPr>
        <w:shd w:val="clear" w:color="auto" w:fill="F6DFD1"/>
      </w:tcPr>
    </w:tblStylePr>
    <w:tblStylePr w:type="band1Horz">
      <w:tblPr/>
      <w:tcPr>
        <w:shd w:val="clear" w:color="auto" w:fill="F6DFD1"/>
      </w:tcPr>
    </w:tblStylePr>
  </w:style>
  <w:style w:type="table" w:customStyle="1" w:styleId="Listamedia1-nfasis32">
    <w:name w:val="Lista media 1 - Énfasis 32"/>
    <w:basedOn w:val="TableNormal"/>
    <w:next w:val="MediumList1-Accent3"/>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A5AB81"/>
        <w:bottom w:val="single" w:sz="8" w:space="0" w:color="A5AB81"/>
      </w:tblBorders>
    </w:tblPr>
    <w:tblStylePr w:type="firstRow">
      <w:rPr>
        <w:rFonts w:ascii="Sitka Text Semibold" w:eastAsia="NSimSun" w:hAnsi="Sitka Text Semibold" w:cs="Times New Roman"/>
      </w:rPr>
      <w:tblPr/>
      <w:tcPr>
        <w:tcBorders>
          <w:top w:val="nil"/>
          <w:bottom w:val="single" w:sz="8" w:space="0" w:color="A5AB81"/>
        </w:tcBorders>
      </w:tcPr>
    </w:tblStylePr>
    <w:tblStylePr w:type="lastRow">
      <w:rPr>
        <w:b/>
        <w:bCs/>
        <w:color w:val="775F55"/>
      </w:rPr>
      <w:tblPr/>
      <w:tcPr>
        <w:tcBorders>
          <w:top w:val="single" w:sz="8" w:space="0" w:color="A5AB81"/>
          <w:bottom w:val="single" w:sz="8" w:space="0" w:color="A5AB81"/>
        </w:tcBorders>
      </w:tcPr>
    </w:tblStylePr>
    <w:tblStylePr w:type="firstCol">
      <w:rPr>
        <w:b/>
        <w:bCs/>
      </w:rPr>
    </w:tblStylePr>
    <w:tblStylePr w:type="lastCol">
      <w:rPr>
        <w:b/>
        <w:bCs/>
      </w:rPr>
      <w:tblPr/>
      <w:tcPr>
        <w:tcBorders>
          <w:top w:val="single" w:sz="8" w:space="0" w:color="A5AB81"/>
          <w:bottom w:val="single" w:sz="8" w:space="0" w:color="A5AB81"/>
        </w:tcBorders>
      </w:tcPr>
    </w:tblStylePr>
    <w:tblStylePr w:type="band1Vert">
      <w:tblPr/>
      <w:tcPr>
        <w:shd w:val="clear" w:color="auto" w:fill="E8EADF"/>
      </w:tcPr>
    </w:tblStylePr>
    <w:tblStylePr w:type="band1Horz">
      <w:tblPr/>
      <w:tcPr>
        <w:shd w:val="clear" w:color="auto" w:fill="E8EADF"/>
      </w:tcPr>
    </w:tblStylePr>
  </w:style>
  <w:style w:type="table" w:customStyle="1" w:styleId="Listamedia1-nfasis42">
    <w:name w:val="Lista media 1 - Énfasis 42"/>
    <w:basedOn w:val="TableNormal"/>
    <w:next w:val="MediumList1-Accent4"/>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D8B25C"/>
        <w:bottom w:val="single" w:sz="8" w:space="0" w:color="D8B25C"/>
      </w:tblBorders>
    </w:tblPr>
    <w:tblStylePr w:type="firstRow">
      <w:rPr>
        <w:rFonts w:ascii="Sitka Text Semibold" w:eastAsia="NSimSun" w:hAnsi="Sitka Text Semibold" w:cs="Times New Roman"/>
      </w:rPr>
      <w:tblPr/>
      <w:tcPr>
        <w:tcBorders>
          <w:top w:val="nil"/>
          <w:bottom w:val="single" w:sz="8" w:space="0" w:color="D8B25C"/>
        </w:tcBorders>
      </w:tcPr>
    </w:tblStylePr>
    <w:tblStylePr w:type="lastRow">
      <w:rPr>
        <w:b/>
        <w:bCs/>
        <w:color w:val="775F55"/>
      </w:rPr>
      <w:tblPr/>
      <w:tcPr>
        <w:tcBorders>
          <w:top w:val="single" w:sz="8" w:space="0" w:color="D8B25C"/>
          <w:bottom w:val="single" w:sz="8" w:space="0" w:color="D8B25C"/>
        </w:tcBorders>
      </w:tcPr>
    </w:tblStylePr>
    <w:tblStylePr w:type="firstCol">
      <w:rPr>
        <w:b/>
        <w:bCs/>
      </w:rPr>
    </w:tblStylePr>
    <w:tblStylePr w:type="lastCol">
      <w:rPr>
        <w:b/>
        <w:bCs/>
      </w:rPr>
      <w:tblPr/>
      <w:tcPr>
        <w:tcBorders>
          <w:top w:val="single" w:sz="8" w:space="0" w:color="D8B25C"/>
          <w:bottom w:val="single" w:sz="8" w:space="0" w:color="D8B25C"/>
        </w:tcBorders>
      </w:tcPr>
    </w:tblStylePr>
    <w:tblStylePr w:type="band1Vert">
      <w:tblPr/>
      <w:tcPr>
        <w:shd w:val="clear" w:color="auto" w:fill="F5EBD6"/>
      </w:tcPr>
    </w:tblStylePr>
    <w:tblStylePr w:type="band1Horz">
      <w:tblPr/>
      <w:tcPr>
        <w:shd w:val="clear" w:color="auto" w:fill="F5EBD6"/>
      </w:tcPr>
    </w:tblStylePr>
  </w:style>
  <w:style w:type="table" w:customStyle="1" w:styleId="Listamedia1-nfasis52">
    <w:name w:val="Lista media 1 - Énfasis 52"/>
    <w:basedOn w:val="TableNormal"/>
    <w:next w:val="MediumList1-Accent5"/>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7BA79D"/>
        <w:bottom w:val="single" w:sz="8" w:space="0" w:color="7BA79D"/>
      </w:tblBorders>
    </w:tblPr>
    <w:tblStylePr w:type="firstRow">
      <w:rPr>
        <w:rFonts w:ascii="Sitka Text Semibold" w:eastAsia="NSimSun" w:hAnsi="Sitka Text Semibold" w:cs="Times New Roman"/>
      </w:rPr>
      <w:tblPr/>
      <w:tcPr>
        <w:tcBorders>
          <w:top w:val="nil"/>
          <w:bottom w:val="single" w:sz="8" w:space="0" w:color="7BA79D"/>
        </w:tcBorders>
      </w:tcPr>
    </w:tblStylePr>
    <w:tblStylePr w:type="lastRow">
      <w:rPr>
        <w:b/>
        <w:bCs/>
        <w:color w:val="775F55"/>
      </w:rPr>
      <w:tblPr/>
      <w:tcPr>
        <w:tcBorders>
          <w:top w:val="single" w:sz="8" w:space="0" w:color="7BA79D"/>
          <w:bottom w:val="single" w:sz="8" w:space="0" w:color="7BA79D"/>
        </w:tcBorders>
      </w:tcPr>
    </w:tblStylePr>
    <w:tblStylePr w:type="firstCol">
      <w:rPr>
        <w:b/>
        <w:bCs/>
      </w:rPr>
    </w:tblStylePr>
    <w:tblStylePr w:type="lastCol">
      <w:rPr>
        <w:b/>
        <w:bCs/>
      </w:rPr>
      <w:tblPr/>
      <w:tcPr>
        <w:tcBorders>
          <w:top w:val="single" w:sz="8" w:space="0" w:color="7BA79D"/>
          <w:bottom w:val="single" w:sz="8" w:space="0" w:color="7BA79D"/>
        </w:tcBorders>
      </w:tcPr>
    </w:tblStylePr>
    <w:tblStylePr w:type="band1Vert">
      <w:tblPr/>
      <w:tcPr>
        <w:shd w:val="clear" w:color="auto" w:fill="DEE9E6"/>
      </w:tcPr>
    </w:tblStylePr>
    <w:tblStylePr w:type="band1Horz">
      <w:tblPr/>
      <w:tcPr>
        <w:shd w:val="clear" w:color="auto" w:fill="DEE9E6"/>
      </w:tcPr>
    </w:tblStylePr>
  </w:style>
  <w:style w:type="table" w:customStyle="1" w:styleId="Listamedia1-nfasis62">
    <w:name w:val="Lista media 1 - Énfasis 62"/>
    <w:basedOn w:val="TableNormal"/>
    <w:next w:val="MediumList1-Accent6"/>
    <w:uiPriority w:val="65"/>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968C8C"/>
        <w:bottom w:val="single" w:sz="8" w:space="0" w:color="968C8C"/>
      </w:tblBorders>
    </w:tblPr>
    <w:tblStylePr w:type="firstRow">
      <w:rPr>
        <w:rFonts w:ascii="Sitka Text Semibold" w:eastAsia="NSimSun" w:hAnsi="Sitka Text Semibold" w:cs="Times New Roman"/>
      </w:rPr>
      <w:tblPr/>
      <w:tcPr>
        <w:tcBorders>
          <w:top w:val="nil"/>
          <w:bottom w:val="single" w:sz="8" w:space="0" w:color="968C8C"/>
        </w:tcBorders>
      </w:tcPr>
    </w:tblStylePr>
    <w:tblStylePr w:type="lastRow">
      <w:rPr>
        <w:b/>
        <w:bCs/>
        <w:color w:val="775F55"/>
      </w:rPr>
      <w:tblPr/>
      <w:tcPr>
        <w:tcBorders>
          <w:top w:val="single" w:sz="8" w:space="0" w:color="968C8C"/>
          <w:bottom w:val="single" w:sz="8" w:space="0" w:color="968C8C"/>
        </w:tcBorders>
      </w:tcPr>
    </w:tblStylePr>
    <w:tblStylePr w:type="firstCol">
      <w:rPr>
        <w:b/>
        <w:bCs/>
      </w:rPr>
    </w:tblStylePr>
    <w:tblStylePr w:type="lastCol">
      <w:rPr>
        <w:b/>
        <w:bCs/>
      </w:rPr>
      <w:tblPr/>
      <w:tcPr>
        <w:tcBorders>
          <w:top w:val="single" w:sz="8" w:space="0" w:color="968C8C"/>
          <w:bottom w:val="single" w:sz="8" w:space="0" w:color="968C8C"/>
        </w:tcBorders>
      </w:tcPr>
    </w:tblStylePr>
    <w:tblStylePr w:type="band1Vert">
      <w:tblPr/>
      <w:tcPr>
        <w:shd w:val="clear" w:color="auto" w:fill="E5E2E2"/>
      </w:tcPr>
    </w:tblStylePr>
    <w:tblStylePr w:type="band1Horz">
      <w:tblPr/>
      <w:tcPr>
        <w:shd w:val="clear" w:color="auto" w:fill="E5E2E2"/>
      </w:tcPr>
    </w:tblStylePr>
  </w:style>
  <w:style w:type="table" w:customStyle="1" w:styleId="Listamedia22">
    <w:name w:val="Lista media 22"/>
    <w:basedOn w:val="TableNormal"/>
    <w:next w:val="MediumList2"/>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12">
    <w:name w:val="Lista media 2 - Énfasis 12"/>
    <w:basedOn w:val="TableNormal"/>
    <w:next w:val="MediumList2-Accent1"/>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rPr>
        <w:sz w:val="24"/>
        <w:szCs w:val="24"/>
      </w:rPr>
      <w:tblPr/>
      <w:tcPr>
        <w:tcBorders>
          <w:top w:val="nil"/>
          <w:left w:val="nil"/>
          <w:bottom w:val="single" w:sz="24" w:space="0" w:color="94B6D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4B6D2"/>
          <w:insideH w:val="nil"/>
          <w:insideV w:val="nil"/>
        </w:tcBorders>
        <w:shd w:val="clear" w:color="auto" w:fill="FFFFFF"/>
      </w:tcPr>
    </w:tblStylePr>
    <w:tblStylePr w:type="lastCol">
      <w:tblPr/>
      <w:tcPr>
        <w:tcBorders>
          <w:top w:val="nil"/>
          <w:left w:val="single" w:sz="8" w:space="0" w:color="94B6D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4ECF4"/>
      </w:tcPr>
    </w:tblStylePr>
    <w:tblStylePr w:type="band1Horz">
      <w:tblPr/>
      <w:tcPr>
        <w:tcBorders>
          <w:top w:val="nil"/>
          <w:bottom w:val="nil"/>
          <w:insideH w:val="nil"/>
          <w:insideV w:val="nil"/>
        </w:tcBorders>
        <w:shd w:val="clear" w:color="auto" w:fill="E4ECF4"/>
      </w:tcPr>
    </w:tblStylePr>
    <w:tblStylePr w:type="nwCell">
      <w:tblPr/>
      <w:tcPr>
        <w:shd w:val="clear" w:color="auto" w:fill="FFFFFF"/>
      </w:tcPr>
    </w:tblStylePr>
    <w:tblStylePr w:type="swCell">
      <w:tblPr/>
      <w:tcPr>
        <w:tcBorders>
          <w:top w:val="nil"/>
        </w:tcBorders>
      </w:tcPr>
    </w:tblStylePr>
  </w:style>
  <w:style w:type="table" w:customStyle="1" w:styleId="Listamedia2-nfasis22">
    <w:name w:val="Lista media 2 - Énfasis 22"/>
    <w:basedOn w:val="TableNormal"/>
    <w:next w:val="MediumList2-Accent2"/>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rPr>
        <w:sz w:val="24"/>
        <w:szCs w:val="24"/>
      </w:rPr>
      <w:tblPr/>
      <w:tcPr>
        <w:tcBorders>
          <w:top w:val="nil"/>
          <w:left w:val="nil"/>
          <w:bottom w:val="single" w:sz="24" w:space="0" w:color="DD80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D8047"/>
          <w:insideH w:val="nil"/>
          <w:insideV w:val="nil"/>
        </w:tcBorders>
        <w:shd w:val="clear" w:color="auto" w:fill="FFFFFF"/>
      </w:tcPr>
    </w:tblStylePr>
    <w:tblStylePr w:type="lastCol">
      <w:tblPr/>
      <w:tcPr>
        <w:tcBorders>
          <w:top w:val="nil"/>
          <w:left w:val="single" w:sz="8" w:space="0" w:color="DD80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6DFD1"/>
      </w:tcPr>
    </w:tblStylePr>
    <w:tblStylePr w:type="band1Horz">
      <w:tblPr/>
      <w:tcPr>
        <w:tcBorders>
          <w:top w:val="nil"/>
          <w:bottom w:val="nil"/>
          <w:insideH w:val="nil"/>
          <w:insideV w:val="nil"/>
        </w:tcBorders>
        <w:shd w:val="clear" w:color="auto" w:fill="F6DFD1"/>
      </w:tcPr>
    </w:tblStylePr>
    <w:tblStylePr w:type="nwCell">
      <w:tblPr/>
      <w:tcPr>
        <w:shd w:val="clear" w:color="auto" w:fill="FFFFFF"/>
      </w:tcPr>
    </w:tblStylePr>
    <w:tblStylePr w:type="swCell">
      <w:tblPr/>
      <w:tcPr>
        <w:tcBorders>
          <w:top w:val="nil"/>
        </w:tcBorders>
      </w:tcPr>
    </w:tblStylePr>
  </w:style>
  <w:style w:type="table" w:customStyle="1" w:styleId="Listamedia2-nfasis32">
    <w:name w:val="Lista media 2 - Énfasis 32"/>
    <w:basedOn w:val="TableNormal"/>
    <w:next w:val="MediumList2-Accent3"/>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rPr>
        <w:sz w:val="24"/>
        <w:szCs w:val="24"/>
      </w:rPr>
      <w:tblPr/>
      <w:tcPr>
        <w:tcBorders>
          <w:top w:val="nil"/>
          <w:left w:val="nil"/>
          <w:bottom w:val="single" w:sz="24" w:space="0" w:color="A5AB8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B81"/>
          <w:insideH w:val="nil"/>
          <w:insideV w:val="nil"/>
        </w:tcBorders>
        <w:shd w:val="clear" w:color="auto" w:fill="FFFFFF"/>
      </w:tcPr>
    </w:tblStylePr>
    <w:tblStylePr w:type="lastCol">
      <w:tblPr/>
      <w:tcPr>
        <w:tcBorders>
          <w:top w:val="nil"/>
          <w:left w:val="single" w:sz="8" w:space="0" w:color="A5AB8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ADF"/>
      </w:tcPr>
    </w:tblStylePr>
    <w:tblStylePr w:type="band1Horz">
      <w:tblPr/>
      <w:tcPr>
        <w:tcBorders>
          <w:top w:val="nil"/>
          <w:bottom w:val="nil"/>
          <w:insideH w:val="nil"/>
          <w:insideV w:val="nil"/>
        </w:tcBorders>
        <w:shd w:val="clear" w:color="auto" w:fill="E8EADF"/>
      </w:tcPr>
    </w:tblStylePr>
    <w:tblStylePr w:type="nwCell">
      <w:tblPr/>
      <w:tcPr>
        <w:shd w:val="clear" w:color="auto" w:fill="FFFFFF"/>
      </w:tcPr>
    </w:tblStylePr>
    <w:tblStylePr w:type="swCell">
      <w:tblPr/>
      <w:tcPr>
        <w:tcBorders>
          <w:top w:val="nil"/>
        </w:tcBorders>
      </w:tcPr>
    </w:tblStylePr>
  </w:style>
  <w:style w:type="table" w:customStyle="1" w:styleId="Listamedia2-nfasis42">
    <w:name w:val="Lista media 2 - Énfasis 42"/>
    <w:basedOn w:val="TableNormal"/>
    <w:next w:val="MediumList2-Accent4"/>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rPr>
        <w:sz w:val="24"/>
        <w:szCs w:val="24"/>
      </w:rPr>
      <w:tblPr/>
      <w:tcPr>
        <w:tcBorders>
          <w:top w:val="nil"/>
          <w:left w:val="nil"/>
          <w:bottom w:val="single" w:sz="24" w:space="0" w:color="D8B25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8B25C"/>
          <w:insideH w:val="nil"/>
          <w:insideV w:val="nil"/>
        </w:tcBorders>
        <w:shd w:val="clear" w:color="auto" w:fill="FFFFFF"/>
      </w:tcPr>
    </w:tblStylePr>
    <w:tblStylePr w:type="lastCol">
      <w:tblPr/>
      <w:tcPr>
        <w:tcBorders>
          <w:top w:val="nil"/>
          <w:left w:val="single" w:sz="8" w:space="0" w:color="D8B25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5EBD6"/>
      </w:tcPr>
    </w:tblStylePr>
    <w:tblStylePr w:type="band1Horz">
      <w:tblPr/>
      <w:tcPr>
        <w:tcBorders>
          <w:top w:val="nil"/>
          <w:bottom w:val="nil"/>
          <w:insideH w:val="nil"/>
          <w:insideV w:val="nil"/>
        </w:tcBorders>
        <w:shd w:val="clear" w:color="auto" w:fill="F5EBD6"/>
      </w:tcPr>
    </w:tblStylePr>
    <w:tblStylePr w:type="nwCell">
      <w:tblPr/>
      <w:tcPr>
        <w:shd w:val="clear" w:color="auto" w:fill="FFFFFF"/>
      </w:tcPr>
    </w:tblStylePr>
    <w:tblStylePr w:type="swCell">
      <w:tblPr/>
      <w:tcPr>
        <w:tcBorders>
          <w:top w:val="nil"/>
        </w:tcBorders>
      </w:tcPr>
    </w:tblStylePr>
  </w:style>
  <w:style w:type="table" w:customStyle="1" w:styleId="Listamedia2-nfasis52">
    <w:name w:val="Lista media 2 - Énfasis 52"/>
    <w:basedOn w:val="TableNormal"/>
    <w:next w:val="MediumList2-Accent5"/>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rPr>
        <w:sz w:val="24"/>
        <w:szCs w:val="24"/>
      </w:rPr>
      <w:tblPr/>
      <w:tcPr>
        <w:tcBorders>
          <w:top w:val="nil"/>
          <w:left w:val="nil"/>
          <w:bottom w:val="single" w:sz="24" w:space="0" w:color="7BA79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BA79D"/>
          <w:insideH w:val="nil"/>
          <w:insideV w:val="nil"/>
        </w:tcBorders>
        <w:shd w:val="clear" w:color="auto" w:fill="FFFFFF"/>
      </w:tcPr>
    </w:tblStylePr>
    <w:tblStylePr w:type="lastCol">
      <w:tblPr/>
      <w:tcPr>
        <w:tcBorders>
          <w:top w:val="nil"/>
          <w:left w:val="single" w:sz="8" w:space="0" w:color="7BA79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EE9E6"/>
      </w:tcPr>
    </w:tblStylePr>
    <w:tblStylePr w:type="band1Horz">
      <w:tblPr/>
      <w:tcPr>
        <w:tcBorders>
          <w:top w:val="nil"/>
          <w:bottom w:val="nil"/>
          <w:insideH w:val="nil"/>
          <w:insideV w:val="nil"/>
        </w:tcBorders>
        <w:shd w:val="clear" w:color="auto" w:fill="DEE9E6"/>
      </w:tcPr>
    </w:tblStylePr>
    <w:tblStylePr w:type="nwCell">
      <w:tblPr/>
      <w:tcPr>
        <w:shd w:val="clear" w:color="auto" w:fill="FFFFFF"/>
      </w:tcPr>
    </w:tblStylePr>
    <w:tblStylePr w:type="swCell">
      <w:tblPr/>
      <w:tcPr>
        <w:tcBorders>
          <w:top w:val="nil"/>
        </w:tcBorders>
      </w:tcPr>
    </w:tblStylePr>
  </w:style>
  <w:style w:type="table" w:customStyle="1" w:styleId="Listamedia2-nfasis62">
    <w:name w:val="Lista media 2 - Énfasis 62"/>
    <w:basedOn w:val="TableNormal"/>
    <w:next w:val="MediumList2-Accent6"/>
    <w:uiPriority w:val="66"/>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rPr>
        <w:sz w:val="24"/>
        <w:szCs w:val="24"/>
      </w:rPr>
      <w:tblPr/>
      <w:tcPr>
        <w:tcBorders>
          <w:top w:val="nil"/>
          <w:left w:val="nil"/>
          <w:bottom w:val="single" w:sz="24" w:space="0" w:color="968C8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68C8C"/>
          <w:insideH w:val="nil"/>
          <w:insideV w:val="nil"/>
        </w:tcBorders>
        <w:shd w:val="clear" w:color="auto" w:fill="FFFFFF"/>
      </w:tcPr>
    </w:tblStylePr>
    <w:tblStylePr w:type="lastCol">
      <w:tblPr/>
      <w:tcPr>
        <w:tcBorders>
          <w:top w:val="nil"/>
          <w:left w:val="single" w:sz="8" w:space="0" w:color="968C8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5E2E2"/>
      </w:tcPr>
    </w:tblStylePr>
    <w:tblStylePr w:type="band1Horz">
      <w:tblPr/>
      <w:tcPr>
        <w:tcBorders>
          <w:top w:val="nil"/>
          <w:bottom w:val="nil"/>
          <w:insideH w:val="nil"/>
          <w:insideV w:val="nil"/>
        </w:tcBorders>
        <w:shd w:val="clear" w:color="auto" w:fill="E5E2E2"/>
      </w:tcPr>
    </w:tblStylePr>
    <w:tblStylePr w:type="nwCell">
      <w:tblPr/>
      <w:tcPr>
        <w:shd w:val="clear" w:color="auto" w:fill="FFFFFF"/>
      </w:tcPr>
    </w:tblStylePr>
    <w:tblStylePr w:type="swCell">
      <w:tblPr/>
      <w:tcPr>
        <w:tcBorders>
          <w:top w:val="nil"/>
        </w:tcBorders>
      </w:tcPr>
    </w:tblStylePr>
  </w:style>
  <w:style w:type="table" w:customStyle="1" w:styleId="Sombreadomedio12">
    <w:name w:val="Sombreado medio 12"/>
    <w:basedOn w:val="TableNormal"/>
    <w:next w:val="MediumShading1"/>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12">
    <w:name w:val="Sombreado medio 1 - Énfasis 12"/>
    <w:basedOn w:val="TableNormal"/>
    <w:next w:val="MediumShading1-Accent1"/>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tblBorders>
    </w:tblPr>
    <w:tblStylePr w:type="firstRow">
      <w:pPr>
        <w:spacing w:before="0" w:after="0" w:line="240" w:lineRule="auto"/>
      </w:pPr>
      <w:rPr>
        <w:b/>
        <w:bCs/>
        <w:color w:val="FFFFFF"/>
      </w:rPr>
      <w:tblPr/>
      <w:tcPr>
        <w:tcBorders>
          <w:top w:val="single" w:sz="8" w:space="0" w:color="AEC8DD"/>
          <w:left w:val="single" w:sz="8" w:space="0" w:color="AEC8DD"/>
          <w:bottom w:val="single" w:sz="8" w:space="0" w:color="AEC8DD"/>
          <w:right w:val="single" w:sz="8" w:space="0" w:color="AEC8DD"/>
          <w:insideH w:val="nil"/>
          <w:insideV w:val="nil"/>
        </w:tcBorders>
        <w:shd w:val="clear" w:color="auto" w:fill="94B6D2"/>
      </w:tcPr>
    </w:tblStylePr>
    <w:tblStylePr w:type="lastRow">
      <w:pPr>
        <w:spacing w:before="0" w:after="0" w:line="240" w:lineRule="auto"/>
      </w:pPr>
      <w:rPr>
        <w:b/>
        <w:bCs/>
      </w:rPr>
      <w:tblPr/>
      <w:tcPr>
        <w:tcBorders>
          <w:top w:val="double" w:sz="6" w:space="0" w:color="AEC8DD"/>
          <w:left w:val="single" w:sz="8" w:space="0" w:color="AEC8DD"/>
          <w:bottom w:val="single" w:sz="8" w:space="0" w:color="AEC8DD"/>
          <w:right w:val="single" w:sz="8" w:space="0" w:color="AEC8DD"/>
          <w:insideH w:val="nil"/>
          <w:insideV w:val="nil"/>
        </w:tcBorders>
      </w:tcPr>
    </w:tblStylePr>
    <w:tblStylePr w:type="firstCol">
      <w:rPr>
        <w:b/>
        <w:bCs/>
      </w:rPr>
    </w:tblStylePr>
    <w:tblStylePr w:type="lastCol">
      <w:rPr>
        <w:b/>
        <w:bCs/>
      </w:rPr>
    </w:tblStylePr>
    <w:tblStylePr w:type="band1Vert">
      <w:tblPr/>
      <w:tcPr>
        <w:shd w:val="clear" w:color="auto" w:fill="E4ECF4"/>
      </w:tcPr>
    </w:tblStylePr>
    <w:tblStylePr w:type="band1Horz">
      <w:tblPr/>
      <w:tcPr>
        <w:tcBorders>
          <w:insideH w:val="nil"/>
          <w:insideV w:val="nil"/>
        </w:tcBorders>
        <w:shd w:val="clear" w:color="auto" w:fill="E4ECF4"/>
      </w:tcPr>
    </w:tblStylePr>
    <w:tblStylePr w:type="band2Horz">
      <w:tblPr/>
      <w:tcPr>
        <w:tcBorders>
          <w:insideH w:val="nil"/>
          <w:insideV w:val="nil"/>
        </w:tcBorders>
      </w:tcPr>
    </w:tblStylePr>
  </w:style>
  <w:style w:type="table" w:customStyle="1" w:styleId="Sombreadomedio1-nfasis22">
    <w:name w:val="Sombreado medio 1 - Énfasis 22"/>
    <w:basedOn w:val="TableNormal"/>
    <w:next w:val="MediumShading1-Accent2"/>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tblBorders>
    </w:tblPr>
    <w:tblStylePr w:type="firstRow">
      <w:pPr>
        <w:spacing w:before="0" w:after="0" w:line="240" w:lineRule="auto"/>
      </w:pPr>
      <w:rPr>
        <w:b/>
        <w:bCs/>
        <w:color w:val="FFFFFF"/>
      </w:rPr>
      <w:tblPr/>
      <w:tcPr>
        <w:tcBorders>
          <w:top w:val="single" w:sz="8" w:space="0" w:color="E59F75"/>
          <w:left w:val="single" w:sz="8" w:space="0" w:color="E59F75"/>
          <w:bottom w:val="single" w:sz="8" w:space="0" w:color="E59F75"/>
          <w:right w:val="single" w:sz="8" w:space="0" w:color="E59F75"/>
          <w:insideH w:val="nil"/>
          <w:insideV w:val="nil"/>
        </w:tcBorders>
        <w:shd w:val="clear" w:color="auto" w:fill="DD8047"/>
      </w:tcPr>
    </w:tblStylePr>
    <w:tblStylePr w:type="lastRow">
      <w:pPr>
        <w:spacing w:before="0" w:after="0" w:line="240" w:lineRule="auto"/>
      </w:pPr>
      <w:rPr>
        <w:b/>
        <w:bCs/>
      </w:rPr>
      <w:tblPr/>
      <w:tcPr>
        <w:tcBorders>
          <w:top w:val="double" w:sz="6" w:space="0" w:color="E59F75"/>
          <w:left w:val="single" w:sz="8" w:space="0" w:color="E59F75"/>
          <w:bottom w:val="single" w:sz="8" w:space="0" w:color="E59F75"/>
          <w:right w:val="single" w:sz="8" w:space="0" w:color="E59F75"/>
          <w:insideH w:val="nil"/>
          <w:insideV w:val="nil"/>
        </w:tcBorders>
      </w:tcPr>
    </w:tblStylePr>
    <w:tblStylePr w:type="firstCol">
      <w:rPr>
        <w:b/>
        <w:bCs/>
      </w:rPr>
    </w:tblStylePr>
    <w:tblStylePr w:type="lastCol">
      <w:rPr>
        <w:b/>
        <w:bCs/>
      </w:rPr>
    </w:tblStylePr>
    <w:tblStylePr w:type="band1Vert">
      <w:tblPr/>
      <w:tcPr>
        <w:shd w:val="clear" w:color="auto" w:fill="F6DFD1"/>
      </w:tcPr>
    </w:tblStylePr>
    <w:tblStylePr w:type="band1Horz">
      <w:tblPr/>
      <w:tcPr>
        <w:tcBorders>
          <w:insideH w:val="nil"/>
          <w:insideV w:val="nil"/>
        </w:tcBorders>
        <w:shd w:val="clear" w:color="auto" w:fill="F6DFD1"/>
      </w:tcPr>
    </w:tblStylePr>
    <w:tblStylePr w:type="band2Horz">
      <w:tblPr/>
      <w:tcPr>
        <w:tcBorders>
          <w:insideH w:val="nil"/>
          <w:insideV w:val="nil"/>
        </w:tcBorders>
      </w:tcPr>
    </w:tblStylePr>
  </w:style>
  <w:style w:type="table" w:customStyle="1" w:styleId="Sombreadomedio1-nfasis32">
    <w:name w:val="Sombreado medio 1 - Énfasis 32"/>
    <w:basedOn w:val="TableNormal"/>
    <w:next w:val="MediumShading1-Accent3"/>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tblBorders>
    </w:tblPr>
    <w:tblStylePr w:type="firstRow">
      <w:pPr>
        <w:spacing w:before="0" w:after="0" w:line="240" w:lineRule="auto"/>
      </w:pPr>
      <w:rPr>
        <w:b/>
        <w:bCs/>
        <w:color w:val="FFFFFF"/>
      </w:rPr>
      <w:tblPr/>
      <w:tcPr>
        <w:tcBorders>
          <w:top w:val="single" w:sz="8" w:space="0" w:color="BBC0A0"/>
          <w:left w:val="single" w:sz="8" w:space="0" w:color="BBC0A0"/>
          <w:bottom w:val="single" w:sz="8" w:space="0" w:color="BBC0A0"/>
          <w:right w:val="single" w:sz="8" w:space="0" w:color="BBC0A0"/>
          <w:insideH w:val="nil"/>
          <w:insideV w:val="nil"/>
        </w:tcBorders>
        <w:shd w:val="clear" w:color="auto" w:fill="A5AB81"/>
      </w:tcPr>
    </w:tblStylePr>
    <w:tblStylePr w:type="lastRow">
      <w:pPr>
        <w:spacing w:before="0" w:after="0" w:line="240" w:lineRule="auto"/>
      </w:pPr>
      <w:rPr>
        <w:b/>
        <w:bCs/>
      </w:rPr>
      <w:tblPr/>
      <w:tcPr>
        <w:tcBorders>
          <w:top w:val="double" w:sz="6" w:space="0" w:color="BBC0A0"/>
          <w:left w:val="single" w:sz="8" w:space="0" w:color="BBC0A0"/>
          <w:bottom w:val="single" w:sz="8" w:space="0" w:color="BBC0A0"/>
          <w:right w:val="single" w:sz="8" w:space="0" w:color="BBC0A0"/>
          <w:insideH w:val="nil"/>
          <w:insideV w:val="nil"/>
        </w:tcBorders>
      </w:tcPr>
    </w:tblStylePr>
    <w:tblStylePr w:type="firstCol">
      <w:rPr>
        <w:b/>
        <w:bCs/>
      </w:rPr>
    </w:tblStylePr>
    <w:tblStylePr w:type="lastCol">
      <w:rPr>
        <w:b/>
        <w:bCs/>
      </w:rPr>
    </w:tblStylePr>
    <w:tblStylePr w:type="band1Vert">
      <w:tblPr/>
      <w:tcPr>
        <w:shd w:val="clear" w:color="auto" w:fill="E8EADF"/>
      </w:tcPr>
    </w:tblStylePr>
    <w:tblStylePr w:type="band1Horz">
      <w:tblPr/>
      <w:tcPr>
        <w:tcBorders>
          <w:insideH w:val="nil"/>
          <w:insideV w:val="nil"/>
        </w:tcBorders>
        <w:shd w:val="clear" w:color="auto" w:fill="E8EADF"/>
      </w:tcPr>
    </w:tblStylePr>
    <w:tblStylePr w:type="band2Horz">
      <w:tblPr/>
      <w:tcPr>
        <w:tcBorders>
          <w:insideH w:val="nil"/>
          <w:insideV w:val="nil"/>
        </w:tcBorders>
      </w:tcPr>
    </w:tblStylePr>
  </w:style>
  <w:style w:type="table" w:customStyle="1" w:styleId="Sombreadomedio1-nfasis42">
    <w:name w:val="Sombreado medio 1 - Énfasis 42"/>
    <w:basedOn w:val="TableNormal"/>
    <w:next w:val="MediumShading1-Accent4"/>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tblBorders>
    </w:tblPr>
    <w:tblStylePr w:type="firstRow">
      <w:pPr>
        <w:spacing w:before="0" w:after="0" w:line="240" w:lineRule="auto"/>
      </w:pPr>
      <w:rPr>
        <w:b/>
        <w:bCs/>
        <w:color w:val="FFFFFF"/>
      </w:rPr>
      <w:tblPr/>
      <w:tcPr>
        <w:tcBorders>
          <w:top w:val="single" w:sz="8" w:space="0" w:color="E1C584"/>
          <w:left w:val="single" w:sz="8" w:space="0" w:color="E1C584"/>
          <w:bottom w:val="single" w:sz="8" w:space="0" w:color="E1C584"/>
          <w:right w:val="single" w:sz="8" w:space="0" w:color="E1C584"/>
          <w:insideH w:val="nil"/>
          <w:insideV w:val="nil"/>
        </w:tcBorders>
        <w:shd w:val="clear" w:color="auto" w:fill="D8B25C"/>
      </w:tcPr>
    </w:tblStylePr>
    <w:tblStylePr w:type="lastRow">
      <w:pPr>
        <w:spacing w:before="0" w:after="0" w:line="240" w:lineRule="auto"/>
      </w:pPr>
      <w:rPr>
        <w:b/>
        <w:bCs/>
      </w:rPr>
      <w:tblPr/>
      <w:tcPr>
        <w:tcBorders>
          <w:top w:val="double" w:sz="6" w:space="0" w:color="E1C584"/>
          <w:left w:val="single" w:sz="8" w:space="0" w:color="E1C584"/>
          <w:bottom w:val="single" w:sz="8" w:space="0" w:color="E1C584"/>
          <w:right w:val="single" w:sz="8" w:space="0" w:color="E1C584"/>
          <w:insideH w:val="nil"/>
          <w:insideV w:val="nil"/>
        </w:tcBorders>
      </w:tcPr>
    </w:tblStylePr>
    <w:tblStylePr w:type="firstCol">
      <w:rPr>
        <w:b/>
        <w:bCs/>
      </w:rPr>
    </w:tblStylePr>
    <w:tblStylePr w:type="lastCol">
      <w:rPr>
        <w:b/>
        <w:bCs/>
      </w:rPr>
    </w:tblStylePr>
    <w:tblStylePr w:type="band1Vert">
      <w:tblPr/>
      <w:tcPr>
        <w:shd w:val="clear" w:color="auto" w:fill="F5EBD6"/>
      </w:tcPr>
    </w:tblStylePr>
    <w:tblStylePr w:type="band1Horz">
      <w:tblPr/>
      <w:tcPr>
        <w:tcBorders>
          <w:insideH w:val="nil"/>
          <w:insideV w:val="nil"/>
        </w:tcBorders>
        <w:shd w:val="clear" w:color="auto" w:fill="F5EBD6"/>
      </w:tcPr>
    </w:tblStylePr>
    <w:tblStylePr w:type="band2Horz">
      <w:tblPr/>
      <w:tcPr>
        <w:tcBorders>
          <w:insideH w:val="nil"/>
          <w:insideV w:val="nil"/>
        </w:tcBorders>
      </w:tcPr>
    </w:tblStylePr>
  </w:style>
  <w:style w:type="table" w:customStyle="1" w:styleId="Sombreadomedio1-nfasis52">
    <w:name w:val="Sombreado medio 1 - Énfasis 52"/>
    <w:basedOn w:val="TableNormal"/>
    <w:next w:val="MediumShading1-Accent5"/>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tblBorders>
    </w:tblPr>
    <w:tblStylePr w:type="firstRow">
      <w:pPr>
        <w:spacing w:before="0" w:after="0" w:line="240" w:lineRule="auto"/>
      </w:pPr>
      <w:rPr>
        <w:b/>
        <w:bCs/>
        <w:color w:val="FFFFFF"/>
      </w:rPr>
      <w:tblPr/>
      <w:tcPr>
        <w:tcBorders>
          <w:top w:val="single" w:sz="8" w:space="0" w:color="9CBDB5"/>
          <w:left w:val="single" w:sz="8" w:space="0" w:color="9CBDB5"/>
          <w:bottom w:val="single" w:sz="8" w:space="0" w:color="9CBDB5"/>
          <w:right w:val="single" w:sz="8" w:space="0" w:color="9CBDB5"/>
          <w:insideH w:val="nil"/>
          <w:insideV w:val="nil"/>
        </w:tcBorders>
        <w:shd w:val="clear" w:color="auto" w:fill="7BA79D"/>
      </w:tcPr>
    </w:tblStylePr>
    <w:tblStylePr w:type="lastRow">
      <w:pPr>
        <w:spacing w:before="0" w:after="0" w:line="240" w:lineRule="auto"/>
      </w:pPr>
      <w:rPr>
        <w:b/>
        <w:bCs/>
      </w:rPr>
      <w:tblPr/>
      <w:tcPr>
        <w:tcBorders>
          <w:top w:val="double" w:sz="6" w:space="0" w:color="9CBDB5"/>
          <w:left w:val="single" w:sz="8" w:space="0" w:color="9CBDB5"/>
          <w:bottom w:val="single" w:sz="8" w:space="0" w:color="9CBDB5"/>
          <w:right w:val="single" w:sz="8" w:space="0" w:color="9CBDB5"/>
          <w:insideH w:val="nil"/>
          <w:insideV w:val="nil"/>
        </w:tcBorders>
      </w:tcPr>
    </w:tblStylePr>
    <w:tblStylePr w:type="firstCol">
      <w:rPr>
        <w:b/>
        <w:bCs/>
      </w:rPr>
    </w:tblStylePr>
    <w:tblStylePr w:type="lastCol">
      <w:rPr>
        <w:b/>
        <w:bCs/>
      </w:rPr>
    </w:tblStylePr>
    <w:tblStylePr w:type="band1Vert">
      <w:tblPr/>
      <w:tcPr>
        <w:shd w:val="clear" w:color="auto" w:fill="DEE9E6"/>
      </w:tcPr>
    </w:tblStylePr>
    <w:tblStylePr w:type="band1Horz">
      <w:tblPr/>
      <w:tcPr>
        <w:tcBorders>
          <w:insideH w:val="nil"/>
          <w:insideV w:val="nil"/>
        </w:tcBorders>
        <w:shd w:val="clear" w:color="auto" w:fill="DEE9E6"/>
      </w:tcPr>
    </w:tblStylePr>
    <w:tblStylePr w:type="band2Horz">
      <w:tblPr/>
      <w:tcPr>
        <w:tcBorders>
          <w:insideH w:val="nil"/>
          <w:insideV w:val="nil"/>
        </w:tcBorders>
      </w:tcPr>
    </w:tblStylePr>
  </w:style>
  <w:style w:type="table" w:customStyle="1" w:styleId="Sombreadomedio1-nfasis62">
    <w:name w:val="Sombreado medio 1 - Énfasis 62"/>
    <w:basedOn w:val="TableNormal"/>
    <w:next w:val="MediumShading1-Accent6"/>
    <w:uiPriority w:val="63"/>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tblBorders>
    </w:tblPr>
    <w:tblStylePr w:type="firstRow">
      <w:pPr>
        <w:spacing w:before="0" w:after="0" w:line="240" w:lineRule="auto"/>
      </w:pPr>
      <w:rPr>
        <w:b/>
        <w:bCs/>
        <w:color w:val="FFFFFF"/>
      </w:rPr>
      <w:tblPr/>
      <w:tcPr>
        <w:tcBorders>
          <w:top w:val="single" w:sz="8" w:space="0" w:color="B0A8A8"/>
          <w:left w:val="single" w:sz="8" w:space="0" w:color="B0A8A8"/>
          <w:bottom w:val="single" w:sz="8" w:space="0" w:color="B0A8A8"/>
          <w:right w:val="single" w:sz="8" w:space="0" w:color="B0A8A8"/>
          <w:insideH w:val="nil"/>
          <w:insideV w:val="nil"/>
        </w:tcBorders>
        <w:shd w:val="clear" w:color="auto" w:fill="968C8C"/>
      </w:tcPr>
    </w:tblStylePr>
    <w:tblStylePr w:type="lastRow">
      <w:pPr>
        <w:spacing w:before="0" w:after="0" w:line="240" w:lineRule="auto"/>
      </w:pPr>
      <w:rPr>
        <w:b/>
        <w:bCs/>
      </w:rPr>
      <w:tblPr/>
      <w:tcPr>
        <w:tcBorders>
          <w:top w:val="double" w:sz="6" w:space="0" w:color="B0A8A8"/>
          <w:left w:val="single" w:sz="8" w:space="0" w:color="B0A8A8"/>
          <w:bottom w:val="single" w:sz="8" w:space="0" w:color="B0A8A8"/>
          <w:right w:val="single" w:sz="8" w:space="0" w:color="B0A8A8"/>
          <w:insideH w:val="nil"/>
          <w:insideV w:val="nil"/>
        </w:tcBorders>
      </w:tcPr>
    </w:tblStylePr>
    <w:tblStylePr w:type="firstCol">
      <w:rPr>
        <w:b/>
        <w:bCs/>
      </w:rPr>
    </w:tblStylePr>
    <w:tblStylePr w:type="lastCol">
      <w:rPr>
        <w:b/>
        <w:bCs/>
      </w:rPr>
    </w:tblStylePr>
    <w:tblStylePr w:type="band1Vert">
      <w:tblPr/>
      <w:tcPr>
        <w:shd w:val="clear" w:color="auto" w:fill="E5E2E2"/>
      </w:tcPr>
    </w:tblStylePr>
    <w:tblStylePr w:type="band1Horz">
      <w:tblPr/>
      <w:tcPr>
        <w:tcBorders>
          <w:insideH w:val="nil"/>
          <w:insideV w:val="nil"/>
        </w:tcBorders>
        <w:shd w:val="clear" w:color="auto" w:fill="E5E2E2"/>
      </w:tcPr>
    </w:tblStylePr>
    <w:tblStylePr w:type="band2Horz">
      <w:tblPr/>
      <w:tcPr>
        <w:tcBorders>
          <w:insideH w:val="nil"/>
          <w:insideV w:val="nil"/>
        </w:tcBorders>
      </w:tcPr>
    </w:tblStylePr>
  </w:style>
  <w:style w:type="table" w:customStyle="1" w:styleId="Sombreadomedio22">
    <w:name w:val="Sombreado medio 22"/>
    <w:basedOn w:val="TableNormal"/>
    <w:next w:val="MediumShading2"/>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12">
    <w:name w:val="Sombreado medio 2 - Énfasis 12"/>
    <w:basedOn w:val="TableNormal"/>
    <w:next w:val="MediumShading2-Accent1"/>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4B6D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4B6D2"/>
      </w:tcPr>
    </w:tblStylePr>
    <w:tblStylePr w:type="lastCol">
      <w:rPr>
        <w:b/>
        <w:bCs/>
        <w:color w:val="FFFFFF"/>
      </w:rPr>
      <w:tblPr/>
      <w:tcPr>
        <w:tcBorders>
          <w:left w:val="nil"/>
          <w:right w:val="nil"/>
          <w:insideH w:val="nil"/>
          <w:insideV w:val="nil"/>
        </w:tcBorders>
        <w:shd w:val="clear" w:color="auto" w:fill="94B6D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22">
    <w:name w:val="Sombreado medio 2 - Énfasis 22"/>
    <w:basedOn w:val="TableNormal"/>
    <w:next w:val="MediumShading2-Accent2"/>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D80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D8047"/>
      </w:tcPr>
    </w:tblStylePr>
    <w:tblStylePr w:type="lastCol">
      <w:rPr>
        <w:b/>
        <w:bCs/>
        <w:color w:val="FFFFFF"/>
      </w:rPr>
      <w:tblPr/>
      <w:tcPr>
        <w:tcBorders>
          <w:left w:val="nil"/>
          <w:right w:val="nil"/>
          <w:insideH w:val="nil"/>
          <w:insideV w:val="nil"/>
        </w:tcBorders>
        <w:shd w:val="clear" w:color="auto" w:fill="DD80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32">
    <w:name w:val="Sombreado medio 2 - Énfasis 32"/>
    <w:basedOn w:val="TableNormal"/>
    <w:next w:val="MediumShading2-Accent3"/>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B8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B81"/>
      </w:tcPr>
    </w:tblStylePr>
    <w:tblStylePr w:type="lastCol">
      <w:rPr>
        <w:b/>
        <w:bCs/>
        <w:color w:val="FFFFFF"/>
      </w:rPr>
      <w:tblPr/>
      <w:tcPr>
        <w:tcBorders>
          <w:left w:val="nil"/>
          <w:right w:val="nil"/>
          <w:insideH w:val="nil"/>
          <w:insideV w:val="nil"/>
        </w:tcBorders>
        <w:shd w:val="clear" w:color="auto" w:fill="A5AB8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42">
    <w:name w:val="Sombreado medio 2 - Énfasis 42"/>
    <w:basedOn w:val="TableNormal"/>
    <w:next w:val="MediumShading2-Accent4"/>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8B25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8B25C"/>
      </w:tcPr>
    </w:tblStylePr>
    <w:tblStylePr w:type="lastCol">
      <w:rPr>
        <w:b/>
        <w:bCs/>
        <w:color w:val="FFFFFF"/>
      </w:rPr>
      <w:tblPr/>
      <w:tcPr>
        <w:tcBorders>
          <w:left w:val="nil"/>
          <w:right w:val="nil"/>
          <w:insideH w:val="nil"/>
          <w:insideV w:val="nil"/>
        </w:tcBorders>
        <w:shd w:val="clear" w:color="auto" w:fill="D8B25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52">
    <w:name w:val="Sombreado medio 2 - Énfasis 52"/>
    <w:basedOn w:val="TableNormal"/>
    <w:next w:val="MediumShading2-Accent5"/>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BA79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BA79D"/>
      </w:tcPr>
    </w:tblStylePr>
    <w:tblStylePr w:type="lastCol">
      <w:rPr>
        <w:b/>
        <w:bCs/>
        <w:color w:val="FFFFFF"/>
      </w:rPr>
      <w:tblPr/>
      <w:tcPr>
        <w:tcBorders>
          <w:left w:val="nil"/>
          <w:right w:val="nil"/>
          <w:insideH w:val="nil"/>
          <w:insideV w:val="nil"/>
        </w:tcBorders>
        <w:shd w:val="clear" w:color="auto" w:fill="7BA79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Sombreadomedio2-nfasis62">
    <w:name w:val="Sombreado medio 2 - Énfasis 62"/>
    <w:basedOn w:val="TableNormal"/>
    <w:next w:val="MediumShading2-Accent6"/>
    <w:uiPriority w:val="64"/>
    <w:semiHidden/>
    <w:unhideWhenUsed/>
    <w:rsid w:val="00233AC6"/>
    <w:rPr>
      <w:rFonts w:ascii="Century Gothic" w:eastAsia="Meiryo" w:hAnsi="Century Gothic" w:cs="Arial"/>
      <w:sz w:val="20"/>
      <w:szCs w:val="20"/>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68C8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68C8C"/>
      </w:tcPr>
    </w:tblStylePr>
    <w:tblStylePr w:type="lastCol">
      <w:rPr>
        <w:b/>
        <w:bCs/>
        <w:color w:val="FFFFFF"/>
      </w:rPr>
      <w:tblPr/>
      <w:tcPr>
        <w:tcBorders>
          <w:left w:val="nil"/>
          <w:right w:val="nil"/>
          <w:insideH w:val="nil"/>
          <w:insideV w:val="nil"/>
        </w:tcBorders>
        <w:shd w:val="clear" w:color="auto" w:fill="968C8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uadrculamedia12">
    <w:name w:val="Cuadrícula media 12"/>
    <w:basedOn w:val="TableNormal"/>
    <w:next w:val="MediumGrid1"/>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uadrculamedia1-nfasis12">
    <w:name w:val="Cuadrícula media 1 - Énfasis 12"/>
    <w:basedOn w:val="TableNormal"/>
    <w:next w:val="MediumGrid1-Accent1"/>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insideV w:val="single" w:sz="8" w:space="0" w:color="AEC8DD"/>
      </w:tblBorders>
    </w:tblPr>
    <w:tcPr>
      <w:shd w:val="clear" w:color="auto" w:fill="E4ECF4"/>
    </w:tcPr>
    <w:tblStylePr w:type="firstRow">
      <w:rPr>
        <w:b/>
        <w:bCs/>
      </w:rPr>
    </w:tblStylePr>
    <w:tblStylePr w:type="lastRow">
      <w:rPr>
        <w:b/>
        <w:bCs/>
      </w:rPr>
      <w:tblPr/>
      <w:tcPr>
        <w:tcBorders>
          <w:top w:val="single" w:sz="18" w:space="0" w:color="AEC8DD"/>
        </w:tcBorders>
      </w:tcPr>
    </w:tblStylePr>
    <w:tblStylePr w:type="firstCol">
      <w:rPr>
        <w:b/>
        <w:bCs/>
      </w:rPr>
    </w:tblStylePr>
    <w:tblStylePr w:type="lastCol">
      <w:rPr>
        <w:b/>
        <w:bCs/>
      </w:rPr>
    </w:tblStylePr>
    <w:tblStylePr w:type="band1Vert">
      <w:tblPr/>
      <w:tcPr>
        <w:shd w:val="clear" w:color="auto" w:fill="C9DAE8"/>
      </w:tcPr>
    </w:tblStylePr>
    <w:tblStylePr w:type="band1Horz">
      <w:tblPr/>
      <w:tcPr>
        <w:shd w:val="clear" w:color="auto" w:fill="C9DAE8"/>
      </w:tcPr>
    </w:tblStylePr>
  </w:style>
  <w:style w:type="table" w:customStyle="1" w:styleId="Cuadrculamedia1-nfasis22">
    <w:name w:val="Cuadrícula media 1 - Énfasis 22"/>
    <w:basedOn w:val="TableNormal"/>
    <w:next w:val="MediumGrid1-Accent2"/>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insideV w:val="single" w:sz="8" w:space="0" w:color="E59F75"/>
      </w:tblBorders>
    </w:tblPr>
    <w:tcPr>
      <w:shd w:val="clear" w:color="auto" w:fill="F6DFD1"/>
    </w:tcPr>
    <w:tblStylePr w:type="firstRow">
      <w:rPr>
        <w:b/>
        <w:bCs/>
      </w:rPr>
    </w:tblStylePr>
    <w:tblStylePr w:type="lastRow">
      <w:rPr>
        <w:b/>
        <w:bCs/>
      </w:rPr>
      <w:tblPr/>
      <w:tcPr>
        <w:tcBorders>
          <w:top w:val="single" w:sz="18" w:space="0" w:color="E59F75"/>
        </w:tcBorders>
      </w:tcPr>
    </w:tblStylePr>
    <w:tblStylePr w:type="firstCol">
      <w:rPr>
        <w:b/>
        <w:bCs/>
      </w:rPr>
    </w:tblStylePr>
    <w:tblStylePr w:type="lastCol">
      <w:rPr>
        <w:b/>
        <w:bCs/>
      </w:rPr>
    </w:tblStylePr>
    <w:tblStylePr w:type="band1Vert">
      <w:tblPr/>
      <w:tcPr>
        <w:shd w:val="clear" w:color="auto" w:fill="EEBFA3"/>
      </w:tcPr>
    </w:tblStylePr>
    <w:tblStylePr w:type="band1Horz">
      <w:tblPr/>
      <w:tcPr>
        <w:shd w:val="clear" w:color="auto" w:fill="EEBFA3"/>
      </w:tcPr>
    </w:tblStylePr>
  </w:style>
  <w:style w:type="table" w:customStyle="1" w:styleId="Cuadrculamedia1-nfasis32">
    <w:name w:val="Cuadrícula media 1 - Énfasis 32"/>
    <w:basedOn w:val="TableNormal"/>
    <w:next w:val="MediumGrid1-Accent3"/>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insideV w:val="single" w:sz="8" w:space="0" w:color="BBC0A0"/>
      </w:tblBorders>
    </w:tblPr>
    <w:tcPr>
      <w:shd w:val="clear" w:color="auto" w:fill="E8EADF"/>
    </w:tcPr>
    <w:tblStylePr w:type="firstRow">
      <w:rPr>
        <w:b/>
        <w:bCs/>
      </w:rPr>
    </w:tblStylePr>
    <w:tblStylePr w:type="lastRow">
      <w:rPr>
        <w:b/>
        <w:bCs/>
      </w:rPr>
      <w:tblPr/>
      <w:tcPr>
        <w:tcBorders>
          <w:top w:val="single" w:sz="18" w:space="0" w:color="BBC0A0"/>
        </w:tcBorders>
      </w:tcPr>
    </w:tblStylePr>
    <w:tblStylePr w:type="firstCol">
      <w:rPr>
        <w:b/>
        <w:bCs/>
      </w:rPr>
    </w:tblStylePr>
    <w:tblStylePr w:type="lastCol">
      <w:rPr>
        <w:b/>
        <w:bCs/>
      </w:rPr>
    </w:tblStylePr>
    <w:tblStylePr w:type="band1Vert">
      <w:tblPr/>
      <w:tcPr>
        <w:shd w:val="clear" w:color="auto" w:fill="D2D5C0"/>
      </w:tcPr>
    </w:tblStylePr>
    <w:tblStylePr w:type="band1Horz">
      <w:tblPr/>
      <w:tcPr>
        <w:shd w:val="clear" w:color="auto" w:fill="D2D5C0"/>
      </w:tcPr>
    </w:tblStylePr>
  </w:style>
  <w:style w:type="table" w:customStyle="1" w:styleId="Cuadrculamedia1-nfasis42">
    <w:name w:val="Cuadrícula media 1 - Énfasis 42"/>
    <w:basedOn w:val="TableNormal"/>
    <w:next w:val="MediumGrid1-Accent4"/>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insideV w:val="single" w:sz="8" w:space="0" w:color="E1C584"/>
      </w:tblBorders>
    </w:tblPr>
    <w:tcPr>
      <w:shd w:val="clear" w:color="auto" w:fill="F5EBD6"/>
    </w:tcPr>
    <w:tblStylePr w:type="firstRow">
      <w:rPr>
        <w:b/>
        <w:bCs/>
      </w:rPr>
    </w:tblStylePr>
    <w:tblStylePr w:type="lastRow">
      <w:rPr>
        <w:b/>
        <w:bCs/>
      </w:rPr>
      <w:tblPr/>
      <w:tcPr>
        <w:tcBorders>
          <w:top w:val="single" w:sz="18" w:space="0" w:color="E1C584"/>
        </w:tcBorders>
      </w:tcPr>
    </w:tblStylePr>
    <w:tblStylePr w:type="firstCol">
      <w:rPr>
        <w:b/>
        <w:bCs/>
      </w:rPr>
    </w:tblStylePr>
    <w:tblStylePr w:type="lastCol">
      <w:rPr>
        <w:b/>
        <w:bCs/>
      </w:rPr>
    </w:tblStylePr>
    <w:tblStylePr w:type="band1Vert">
      <w:tblPr/>
      <w:tcPr>
        <w:shd w:val="clear" w:color="auto" w:fill="EBD8AD"/>
      </w:tcPr>
    </w:tblStylePr>
    <w:tblStylePr w:type="band1Horz">
      <w:tblPr/>
      <w:tcPr>
        <w:shd w:val="clear" w:color="auto" w:fill="EBD8AD"/>
      </w:tcPr>
    </w:tblStylePr>
  </w:style>
  <w:style w:type="table" w:customStyle="1" w:styleId="Cuadrculamedia1-nfasis52">
    <w:name w:val="Cuadrícula media 1 - Énfasis 52"/>
    <w:basedOn w:val="TableNormal"/>
    <w:next w:val="MediumGrid1-Accent5"/>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insideV w:val="single" w:sz="8" w:space="0" w:color="9CBDB5"/>
      </w:tblBorders>
    </w:tblPr>
    <w:tcPr>
      <w:shd w:val="clear" w:color="auto" w:fill="DEE9E6"/>
    </w:tcPr>
    <w:tblStylePr w:type="firstRow">
      <w:rPr>
        <w:b/>
        <w:bCs/>
      </w:rPr>
    </w:tblStylePr>
    <w:tblStylePr w:type="lastRow">
      <w:rPr>
        <w:b/>
        <w:bCs/>
      </w:rPr>
      <w:tblPr/>
      <w:tcPr>
        <w:tcBorders>
          <w:top w:val="single" w:sz="18" w:space="0" w:color="9CBDB5"/>
        </w:tcBorders>
      </w:tcPr>
    </w:tblStylePr>
    <w:tblStylePr w:type="firstCol">
      <w:rPr>
        <w:b/>
        <w:bCs/>
      </w:rPr>
    </w:tblStylePr>
    <w:tblStylePr w:type="lastCol">
      <w:rPr>
        <w:b/>
        <w:bCs/>
      </w:rPr>
    </w:tblStylePr>
    <w:tblStylePr w:type="band1Vert">
      <w:tblPr/>
      <w:tcPr>
        <w:shd w:val="clear" w:color="auto" w:fill="BDD3CE"/>
      </w:tcPr>
    </w:tblStylePr>
    <w:tblStylePr w:type="band1Horz">
      <w:tblPr/>
      <w:tcPr>
        <w:shd w:val="clear" w:color="auto" w:fill="BDD3CE"/>
      </w:tcPr>
    </w:tblStylePr>
  </w:style>
  <w:style w:type="table" w:customStyle="1" w:styleId="Cuadrculamedia1-nfasis62">
    <w:name w:val="Cuadrícula media 1 - Énfasis 62"/>
    <w:basedOn w:val="TableNormal"/>
    <w:next w:val="MediumGrid1-Accent6"/>
    <w:uiPriority w:val="67"/>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insideV w:val="single" w:sz="8" w:space="0" w:color="B0A8A8"/>
      </w:tblBorders>
    </w:tblPr>
    <w:tcPr>
      <w:shd w:val="clear" w:color="auto" w:fill="E5E2E2"/>
    </w:tcPr>
    <w:tblStylePr w:type="firstRow">
      <w:rPr>
        <w:b/>
        <w:bCs/>
      </w:rPr>
    </w:tblStylePr>
    <w:tblStylePr w:type="lastRow">
      <w:rPr>
        <w:b/>
        <w:bCs/>
      </w:rPr>
      <w:tblPr/>
      <w:tcPr>
        <w:tcBorders>
          <w:top w:val="single" w:sz="18" w:space="0" w:color="B0A8A8"/>
        </w:tcBorders>
      </w:tcPr>
    </w:tblStylePr>
    <w:tblStylePr w:type="firstCol">
      <w:rPr>
        <w:b/>
        <w:bCs/>
      </w:rPr>
    </w:tblStylePr>
    <w:tblStylePr w:type="lastCol">
      <w:rPr>
        <w:b/>
        <w:bCs/>
      </w:rPr>
    </w:tblStylePr>
    <w:tblStylePr w:type="band1Vert">
      <w:tblPr/>
      <w:tcPr>
        <w:shd w:val="clear" w:color="auto" w:fill="CAC5C5"/>
      </w:tcPr>
    </w:tblStylePr>
    <w:tblStylePr w:type="band1Horz">
      <w:tblPr/>
      <w:tcPr>
        <w:shd w:val="clear" w:color="auto" w:fill="CAC5C5"/>
      </w:tcPr>
    </w:tblStylePr>
  </w:style>
  <w:style w:type="table" w:customStyle="1" w:styleId="Cuadrculamedia22">
    <w:name w:val="Cuadrícula media 22"/>
    <w:basedOn w:val="TableNormal"/>
    <w:next w:val="MediumGrid2"/>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Cuadrculamedia2-nfasis12">
    <w:name w:val="Cuadrícula media 2 - Énfasis 12"/>
    <w:basedOn w:val="TableNormal"/>
    <w:next w:val="MediumGrid2-Accent1"/>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cPr>
      <w:shd w:val="clear" w:color="auto" w:fill="E4ECF4"/>
    </w:tcPr>
    <w:tblStylePr w:type="firstRow">
      <w:rPr>
        <w:b/>
        <w:bCs/>
        <w:color w:val="000000"/>
      </w:rPr>
      <w:tblPr/>
      <w:tcPr>
        <w:shd w:val="clear" w:color="auto" w:fill="F4F7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9F0F6"/>
      </w:tcPr>
    </w:tblStylePr>
    <w:tblStylePr w:type="band1Vert">
      <w:tblPr/>
      <w:tcPr>
        <w:shd w:val="clear" w:color="auto" w:fill="C9DAE8"/>
      </w:tcPr>
    </w:tblStylePr>
    <w:tblStylePr w:type="band1Horz">
      <w:tblPr/>
      <w:tcPr>
        <w:tcBorders>
          <w:insideH w:val="single" w:sz="6" w:space="0" w:color="94B6D2"/>
          <w:insideV w:val="single" w:sz="6" w:space="0" w:color="94B6D2"/>
        </w:tcBorders>
        <w:shd w:val="clear" w:color="auto" w:fill="C9DAE8"/>
      </w:tcPr>
    </w:tblStylePr>
    <w:tblStylePr w:type="nwCell">
      <w:tblPr/>
      <w:tcPr>
        <w:shd w:val="clear" w:color="auto" w:fill="FFFFFF"/>
      </w:tcPr>
    </w:tblStylePr>
  </w:style>
  <w:style w:type="table" w:customStyle="1" w:styleId="Cuadrculamedia2-nfasis22">
    <w:name w:val="Cuadrícula media 2 - Énfasis 22"/>
    <w:basedOn w:val="TableNormal"/>
    <w:next w:val="MediumGrid2-Accent2"/>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cPr>
      <w:shd w:val="clear" w:color="auto" w:fill="F6DFD1"/>
    </w:tcPr>
    <w:tblStylePr w:type="firstRow">
      <w:rPr>
        <w:b/>
        <w:bCs/>
        <w:color w:val="000000"/>
      </w:rPr>
      <w:tblPr/>
      <w:tcPr>
        <w:shd w:val="clear" w:color="auto" w:fill="FBF2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E5DA"/>
      </w:tcPr>
    </w:tblStylePr>
    <w:tblStylePr w:type="band1Vert">
      <w:tblPr/>
      <w:tcPr>
        <w:shd w:val="clear" w:color="auto" w:fill="EEBFA3"/>
      </w:tcPr>
    </w:tblStylePr>
    <w:tblStylePr w:type="band1Horz">
      <w:tblPr/>
      <w:tcPr>
        <w:tcBorders>
          <w:insideH w:val="single" w:sz="6" w:space="0" w:color="DD8047"/>
          <w:insideV w:val="single" w:sz="6" w:space="0" w:color="DD8047"/>
        </w:tcBorders>
        <w:shd w:val="clear" w:color="auto" w:fill="EEBFA3"/>
      </w:tcPr>
    </w:tblStylePr>
    <w:tblStylePr w:type="nwCell">
      <w:tblPr/>
      <w:tcPr>
        <w:shd w:val="clear" w:color="auto" w:fill="FFFFFF"/>
      </w:tcPr>
    </w:tblStylePr>
  </w:style>
  <w:style w:type="table" w:customStyle="1" w:styleId="Cuadrculamedia2-nfasis32">
    <w:name w:val="Cuadrícula media 2 - Énfasis 32"/>
    <w:basedOn w:val="TableNormal"/>
    <w:next w:val="MediumGrid2-Accent3"/>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cPr>
      <w:shd w:val="clear" w:color="auto" w:fill="E8EADF"/>
    </w:tcPr>
    <w:tblStylePr w:type="firstRow">
      <w:rPr>
        <w:b/>
        <w:bCs/>
        <w:color w:val="000000"/>
      </w:rPr>
      <w:tblPr/>
      <w:tcPr>
        <w:shd w:val="clear" w:color="auto" w:fill="F6F6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EE5"/>
      </w:tcPr>
    </w:tblStylePr>
    <w:tblStylePr w:type="band1Vert">
      <w:tblPr/>
      <w:tcPr>
        <w:shd w:val="clear" w:color="auto" w:fill="D2D5C0"/>
      </w:tcPr>
    </w:tblStylePr>
    <w:tblStylePr w:type="band1Horz">
      <w:tblPr/>
      <w:tcPr>
        <w:tcBorders>
          <w:insideH w:val="single" w:sz="6" w:space="0" w:color="A5AB81"/>
          <w:insideV w:val="single" w:sz="6" w:space="0" w:color="A5AB81"/>
        </w:tcBorders>
        <w:shd w:val="clear" w:color="auto" w:fill="D2D5C0"/>
      </w:tcPr>
    </w:tblStylePr>
    <w:tblStylePr w:type="nwCell">
      <w:tblPr/>
      <w:tcPr>
        <w:shd w:val="clear" w:color="auto" w:fill="FFFFFF"/>
      </w:tcPr>
    </w:tblStylePr>
  </w:style>
  <w:style w:type="table" w:customStyle="1" w:styleId="Cuadrculamedia2-nfasis42">
    <w:name w:val="Cuadrícula media 2 - Énfasis 42"/>
    <w:basedOn w:val="TableNormal"/>
    <w:next w:val="MediumGrid2-Accent4"/>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cPr>
      <w:shd w:val="clear" w:color="auto" w:fill="F5EBD6"/>
    </w:tcPr>
    <w:tblStylePr w:type="firstRow">
      <w:rPr>
        <w:b/>
        <w:bCs/>
        <w:color w:val="000000"/>
      </w:rPr>
      <w:tblPr/>
      <w:tcPr>
        <w:shd w:val="clear" w:color="auto" w:fill="FBF7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7EFDE"/>
      </w:tcPr>
    </w:tblStylePr>
    <w:tblStylePr w:type="band1Vert">
      <w:tblPr/>
      <w:tcPr>
        <w:shd w:val="clear" w:color="auto" w:fill="EBD8AD"/>
      </w:tcPr>
    </w:tblStylePr>
    <w:tblStylePr w:type="band1Horz">
      <w:tblPr/>
      <w:tcPr>
        <w:tcBorders>
          <w:insideH w:val="single" w:sz="6" w:space="0" w:color="D8B25C"/>
          <w:insideV w:val="single" w:sz="6" w:space="0" w:color="D8B25C"/>
        </w:tcBorders>
        <w:shd w:val="clear" w:color="auto" w:fill="EBD8AD"/>
      </w:tcPr>
    </w:tblStylePr>
    <w:tblStylePr w:type="nwCell">
      <w:tblPr/>
      <w:tcPr>
        <w:shd w:val="clear" w:color="auto" w:fill="FFFFFF"/>
      </w:tcPr>
    </w:tblStylePr>
  </w:style>
  <w:style w:type="table" w:customStyle="1" w:styleId="Cuadrculamedia2-nfasis52">
    <w:name w:val="Cuadrícula media 2 - Énfasis 52"/>
    <w:basedOn w:val="TableNormal"/>
    <w:next w:val="MediumGrid2-Accent5"/>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cPr>
      <w:shd w:val="clear" w:color="auto" w:fill="DEE9E6"/>
    </w:tcPr>
    <w:tblStylePr w:type="firstRow">
      <w:rPr>
        <w:b/>
        <w:bCs/>
        <w:color w:val="000000"/>
      </w:rPr>
      <w:tblPr/>
      <w:tcPr>
        <w:shd w:val="clear" w:color="auto" w:fill="F2F6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4EDEB"/>
      </w:tcPr>
    </w:tblStylePr>
    <w:tblStylePr w:type="band1Vert">
      <w:tblPr/>
      <w:tcPr>
        <w:shd w:val="clear" w:color="auto" w:fill="BDD3CE"/>
      </w:tcPr>
    </w:tblStylePr>
    <w:tblStylePr w:type="band1Horz">
      <w:tblPr/>
      <w:tcPr>
        <w:tcBorders>
          <w:insideH w:val="single" w:sz="6" w:space="0" w:color="7BA79D"/>
          <w:insideV w:val="single" w:sz="6" w:space="0" w:color="7BA79D"/>
        </w:tcBorders>
        <w:shd w:val="clear" w:color="auto" w:fill="BDD3CE"/>
      </w:tcPr>
    </w:tblStylePr>
    <w:tblStylePr w:type="nwCell">
      <w:tblPr/>
      <w:tcPr>
        <w:shd w:val="clear" w:color="auto" w:fill="FFFFFF"/>
      </w:tcPr>
    </w:tblStylePr>
  </w:style>
  <w:style w:type="table" w:customStyle="1" w:styleId="Cuadrculamedia2-nfasis62">
    <w:name w:val="Cuadrícula media 2 - Énfasis 62"/>
    <w:basedOn w:val="TableNormal"/>
    <w:next w:val="MediumGrid2-Accent6"/>
    <w:uiPriority w:val="68"/>
    <w:semiHidden/>
    <w:unhideWhenUsed/>
    <w:rsid w:val="00233AC6"/>
    <w:rPr>
      <w:rFonts w:ascii="Century Gothic" w:eastAsia="Meiryo" w:hAnsi="Century Gothic" w:cs="Times New Roman"/>
      <w:color w:val="000000"/>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cPr>
      <w:shd w:val="clear" w:color="auto" w:fill="E5E2E2"/>
    </w:tcPr>
    <w:tblStylePr w:type="firstRow">
      <w:rPr>
        <w:b/>
        <w:bCs/>
        <w:color w:val="000000"/>
      </w:rPr>
      <w:tblPr/>
      <w:tcPr>
        <w:shd w:val="clear" w:color="auto" w:fill="F4F3F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E8E8"/>
      </w:tcPr>
    </w:tblStylePr>
    <w:tblStylePr w:type="band1Vert">
      <w:tblPr/>
      <w:tcPr>
        <w:shd w:val="clear" w:color="auto" w:fill="CAC5C5"/>
      </w:tcPr>
    </w:tblStylePr>
    <w:tblStylePr w:type="band1Horz">
      <w:tblPr/>
      <w:tcPr>
        <w:tcBorders>
          <w:insideH w:val="single" w:sz="6" w:space="0" w:color="968C8C"/>
          <w:insideV w:val="single" w:sz="6" w:space="0" w:color="968C8C"/>
        </w:tcBorders>
        <w:shd w:val="clear" w:color="auto" w:fill="CAC5C5"/>
      </w:tcPr>
    </w:tblStylePr>
    <w:tblStylePr w:type="nwCell">
      <w:tblPr/>
      <w:tcPr>
        <w:shd w:val="clear" w:color="auto" w:fill="FFFFFF"/>
      </w:tcPr>
    </w:tblStylePr>
  </w:style>
  <w:style w:type="table" w:customStyle="1" w:styleId="Cuadrculamedia32">
    <w:name w:val="Cuadrícula media 32"/>
    <w:basedOn w:val="TableNormal"/>
    <w:next w:val="MediumGrid3"/>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uadrculamedia3-nfasis12">
    <w:name w:val="Cuadrícula media 3 - Énfasis 12"/>
    <w:basedOn w:val="TableNormal"/>
    <w:next w:val="MediumGrid3-Accent1"/>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4EC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4B6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4B6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4B6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4B6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9DA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9DAE8"/>
      </w:tcPr>
    </w:tblStylePr>
  </w:style>
  <w:style w:type="table" w:customStyle="1" w:styleId="Cuadrculamedia3-nfasis22">
    <w:name w:val="Cuadrícula media 3 - Énfasis 22"/>
    <w:basedOn w:val="TableNormal"/>
    <w:next w:val="MediumGrid3-Accent2"/>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D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80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80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80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80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B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BFA3"/>
      </w:tcPr>
    </w:tblStylePr>
  </w:style>
  <w:style w:type="table" w:customStyle="1" w:styleId="Cuadrculamedia3-nfasis32">
    <w:name w:val="Cuadrícula media 3 - Énfasis 32"/>
    <w:basedOn w:val="TableNormal"/>
    <w:next w:val="MediumGrid3-Accent3"/>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A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B8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B8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B8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B8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5C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5C0"/>
      </w:tcPr>
    </w:tblStylePr>
  </w:style>
  <w:style w:type="table" w:customStyle="1" w:styleId="Cuadrculamedia3-nfasis42">
    <w:name w:val="Cuadrícula media 3 - Énfasis 42"/>
    <w:basedOn w:val="TableNormal"/>
    <w:next w:val="MediumGrid3-Accent4"/>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5EB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8B25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8B25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8B25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8B25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BD8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BD8AD"/>
      </w:tcPr>
    </w:tblStylePr>
  </w:style>
  <w:style w:type="table" w:customStyle="1" w:styleId="Cuadrculamedia3-nfasis52">
    <w:name w:val="Cuadrícula media 3 - Énfasis 52"/>
    <w:basedOn w:val="TableNormal"/>
    <w:next w:val="MediumGrid3-Accent5"/>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E9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BA79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BA79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BA79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BA79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D3C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D3CE"/>
      </w:tcPr>
    </w:tblStylePr>
  </w:style>
  <w:style w:type="table" w:customStyle="1" w:styleId="Cuadrculamedia3-nfasis62">
    <w:name w:val="Cuadrícula media 3 - Énfasis 62"/>
    <w:basedOn w:val="TableNormal"/>
    <w:next w:val="MediumGrid3-Accent6"/>
    <w:uiPriority w:val="69"/>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68C8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68C8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68C8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68C8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AC5C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AC5C5"/>
      </w:tcPr>
    </w:tblStylePr>
  </w:style>
  <w:style w:type="table" w:customStyle="1" w:styleId="Tablaelegante2">
    <w:name w:val="Tabla elegante2"/>
    <w:basedOn w:val="TableNormal"/>
    <w:next w:val="TableElegant"/>
    <w:uiPriority w:val="99"/>
    <w:semiHidden/>
    <w:unhideWhenUsed/>
    <w:rsid w:val="00233AC6"/>
    <w:rPr>
      <w:rFonts w:ascii="Century Gothic" w:eastAsia="Meiryo" w:hAnsi="Century Gothic" w:cs="Arial"/>
      <w:sz w:val="20"/>
      <w:szCs w:val="20"/>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lista12">
    <w:name w:val="Tabla con lista 12"/>
    <w:basedOn w:val="TableNormal"/>
    <w:next w:val="TableList1"/>
    <w:uiPriority w:val="99"/>
    <w:semiHidden/>
    <w:unhideWhenUsed/>
    <w:rsid w:val="00233AC6"/>
    <w:rPr>
      <w:rFonts w:ascii="Century Gothic" w:eastAsia="Meiryo" w:hAnsi="Century Gothic" w:cs="Arial"/>
      <w:sz w:val="20"/>
      <w:szCs w:val="20"/>
      <w:lang w:val="en-US"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22">
    <w:name w:val="Tabla con lista 22"/>
    <w:basedOn w:val="TableNormal"/>
    <w:next w:val="TableList2"/>
    <w:uiPriority w:val="99"/>
    <w:semiHidden/>
    <w:unhideWhenUsed/>
    <w:rsid w:val="00233AC6"/>
    <w:rPr>
      <w:rFonts w:ascii="Century Gothic" w:eastAsia="Meiryo" w:hAnsi="Century Gothic" w:cs="Arial"/>
      <w:sz w:val="20"/>
      <w:szCs w:val="20"/>
      <w:lang w:val="en-US"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
    <w:name w:val="Tabla con lista 32"/>
    <w:basedOn w:val="TableNormal"/>
    <w:next w:val="TableList3"/>
    <w:uiPriority w:val="99"/>
    <w:semiHidden/>
    <w:unhideWhenUsed/>
    <w:rsid w:val="00233AC6"/>
    <w:rPr>
      <w:rFonts w:ascii="Century Gothic" w:eastAsia="Meiryo" w:hAnsi="Century Gothic" w:cs="Arial"/>
      <w:sz w:val="20"/>
      <w:szCs w:val="20"/>
      <w:lang w:val="en-US"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lista42">
    <w:name w:val="Tabla con lista 42"/>
    <w:basedOn w:val="TableNormal"/>
    <w:next w:val="TableList4"/>
    <w:uiPriority w:val="99"/>
    <w:semiHidden/>
    <w:unhideWhenUsed/>
    <w:rsid w:val="00233AC6"/>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2">
    <w:name w:val="Tabla con lista 52"/>
    <w:basedOn w:val="TableNormal"/>
    <w:next w:val="TableList5"/>
    <w:uiPriority w:val="99"/>
    <w:semiHidden/>
    <w:unhideWhenUsed/>
    <w:rsid w:val="00233AC6"/>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aconlista62">
    <w:name w:val="Tabla con lista 62"/>
    <w:basedOn w:val="TableNormal"/>
    <w:next w:val="TableList6"/>
    <w:uiPriority w:val="99"/>
    <w:semiHidden/>
    <w:unhideWhenUsed/>
    <w:rsid w:val="00233AC6"/>
    <w:rPr>
      <w:rFonts w:ascii="Century Gothic" w:eastAsia="Meiryo" w:hAnsi="Century Gothic" w:cs="Arial"/>
      <w:sz w:val="20"/>
      <w:szCs w:val="20"/>
      <w:lang w:val="en-US"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aconlista72">
    <w:name w:val="Tabla con lista 72"/>
    <w:basedOn w:val="TableNormal"/>
    <w:next w:val="TableList7"/>
    <w:uiPriority w:val="99"/>
    <w:semiHidden/>
    <w:unhideWhenUsed/>
    <w:rsid w:val="00233AC6"/>
    <w:rPr>
      <w:rFonts w:ascii="Century Gothic" w:eastAsia="Meiryo" w:hAnsi="Century Gothic" w:cs="Arial"/>
      <w:sz w:val="20"/>
      <w:szCs w:val="20"/>
      <w:lang w:val="en-US"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aconlista82">
    <w:name w:val="Tabla con lista 82"/>
    <w:basedOn w:val="TableNormal"/>
    <w:next w:val="TableList8"/>
    <w:uiPriority w:val="99"/>
    <w:semiHidden/>
    <w:unhideWhenUsed/>
    <w:rsid w:val="00233AC6"/>
    <w:rPr>
      <w:rFonts w:ascii="Century Gothic" w:eastAsia="Meiryo" w:hAnsi="Century Gothic" w:cs="Arial"/>
      <w:sz w:val="20"/>
      <w:szCs w:val="20"/>
      <w:lang w:val="en-US"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aclsica12">
    <w:name w:val="Tabla clásica 12"/>
    <w:basedOn w:val="TableNormal"/>
    <w:next w:val="TableClassic1"/>
    <w:uiPriority w:val="99"/>
    <w:semiHidden/>
    <w:unhideWhenUsed/>
    <w:rsid w:val="00233AC6"/>
    <w:rPr>
      <w:rFonts w:ascii="Century Gothic" w:eastAsia="Meiryo" w:hAnsi="Century Gothic" w:cs="Arial"/>
      <w:sz w:val="20"/>
      <w:szCs w:val="20"/>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22">
    <w:name w:val="Tabla clásica 22"/>
    <w:basedOn w:val="TableNormal"/>
    <w:next w:val="TableClassic2"/>
    <w:uiPriority w:val="99"/>
    <w:semiHidden/>
    <w:unhideWhenUsed/>
    <w:rsid w:val="00233AC6"/>
    <w:rPr>
      <w:rFonts w:ascii="Century Gothic" w:eastAsia="Meiryo" w:hAnsi="Century Gothic" w:cs="Arial"/>
      <w:sz w:val="20"/>
      <w:szCs w:val="20"/>
      <w:lang w:val="en-US"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lsica32">
    <w:name w:val="Tabla clásica 32"/>
    <w:basedOn w:val="TableNormal"/>
    <w:next w:val="TableClassic3"/>
    <w:uiPriority w:val="99"/>
    <w:semiHidden/>
    <w:unhideWhenUsed/>
    <w:rsid w:val="00233AC6"/>
    <w:rPr>
      <w:rFonts w:ascii="Century Gothic" w:eastAsia="Meiryo" w:hAnsi="Century Gothic" w:cs="Arial"/>
      <w:color w:val="000080"/>
      <w:sz w:val="20"/>
      <w:szCs w:val="20"/>
      <w:lang w:val="en-US"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42">
    <w:name w:val="Tabla clásica 42"/>
    <w:basedOn w:val="TableNormal"/>
    <w:next w:val="TableClassic4"/>
    <w:uiPriority w:val="99"/>
    <w:semiHidden/>
    <w:unhideWhenUsed/>
    <w:rsid w:val="00233AC6"/>
    <w:rPr>
      <w:rFonts w:ascii="Century Gothic" w:eastAsia="Meiryo" w:hAnsi="Century Gothic" w:cs="Arial"/>
      <w:sz w:val="20"/>
      <w:szCs w:val="20"/>
      <w:lang w:val="en-US"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stavistosa2">
    <w:name w:val="Lista vistosa2"/>
    <w:basedOn w:val="TableNormal"/>
    <w:next w:val="ColorfulList"/>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stavistosa-nfasis12">
    <w:name w:val="Lista vistosa - Énfasis 12"/>
    <w:basedOn w:val="TableNormal"/>
    <w:next w:val="ColorfulList-Accent1"/>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4F7FA"/>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cPr>
    </w:tblStylePr>
    <w:tblStylePr w:type="band1Horz">
      <w:tblPr/>
      <w:tcPr>
        <w:shd w:val="clear" w:color="auto" w:fill="E9F0F6"/>
      </w:tcPr>
    </w:tblStylePr>
  </w:style>
  <w:style w:type="table" w:customStyle="1" w:styleId="Listavistosa-nfasis22">
    <w:name w:val="Lista vistosa - Énfasis 22"/>
    <w:basedOn w:val="TableNormal"/>
    <w:next w:val="ColorfulList-Accent2"/>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BF2EC"/>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cPr>
    </w:tblStylePr>
    <w:tblStylePr w:type="band1Horz">
      <w:tblPr/>
      <w:tcPr>
        <w:shd w:val="clear" w:color="auto" w:fill="F8E5DA"/>
      </w:tcPr>
    </w:tblStylePr>
  </w:style>
  <w:style w:type="table" w:customStyle="1" w:styleId="Listavistosa-nfasis32">
    <w:name w:val="Lista vistosa - Énfasis 32"/>
    <w:basedOn w:val="TableNormal"/>
    <w:next w:val="ColorfulList-Accent3"/>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6F6F2"/>
    </w:tcPr>
    <w:tblStylePr w:type="firstRow">
      <w:rPr>
        <w:b/>
        <w:bCs/>
        <w:color w:val="FFFFFF"/>
      </w:rPr>
      <w:tblPr/>
      <w:tcPr>
        <w:tcBorders>
          <w:bottom w:val="single" w:sz="12" w:space="0" w:color="FFFFFF"/>
        </w:tcBorders>
        <w:shd w:val="clear" w:color="auto" w:fill="C6972F"/>
      </w:tcPr>
    </w:tblStylePr>
    <w:tblStylePr w:type="lastRow">
      <w:rPr>
        <w:b/>
        <w:bCs/>
        <w:color w:val="C6972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cPr>
    </w:tblStylePr>
    <w:tblStylePr w:type="band1Horz">
      <w:tblPr/>
      <w:tcPr>
        <w:shd w:val="clear" w:color="auto" w:fill="EDEEE5"/>
      </w:tcPr>
    </w:tblStylePr>
  </w:style>
  <w:style w:type="table" w:customStyle="1" w:styleId="Listavistosa-nfasis42">
    <w:name w:val="Lista vistosa - Énfasis 42"/>
    <w:basedOn w:val="TableNormal"/>
    <w:next w:val="ColorfulList-Accent4"/>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BF7EE"/>
    </w:tcPr>
    <w:tblStylePr w:type="firstRow">
      <w:rPr>
        <w:b/>
        <w:bCs/>
        <w:color w:val="FFFFFF"/>
      </w:rPr>
      <w:tblPr/>
      <w:tcPr>
        <w:tcBorders>
          <w:bottom w:val="single" w:sz="12" w:space="0" w:color="FFFFFF"/>
        </w:tcBorders>
        <w:shd w:val="clear" w:color="auto" w:fill="899060"/>
      </w:tcPr>
    </w:tblStylePr>
    <w:tblStylePr w:type="lastRow">
      <w:rPr>
        <w:b/>
        <w:bCs/>
        <w:color w:val="899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cPr>
    </w:tblStylePr>
    <w:tblStylePr w:type="band1Horz">
      <w:tblPr/>
      <w:tcPr>
        <w:shd w:val="clear" w:color="auto" w:fill="F7EFDE"/>
      </w:tcPr>
    </w:tblStylePr>
  </w:style>
  <w:style w:type="table" w:customStyle="1" w:styleId="Listavistosa-nfasis52">
    <w:name w:val="Lista vistosa - Énfasis 52"/>
    <w:basedOn w:val="TableNormal"/>
    <w:next w:val="ColorfulList-Accent5"/>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2F6F5"/>
    </w:tcPr>
    <w:tblStylePr w:type="firstRow">
      <w:rPr>
        <w:b/>
        <w:bCs/>
        <w:color w:val="FFFFFF"/>
      </w:rPr>
      <w:tblPr/>
      <w:tcPr>
        <w:tcBorders>
          <w:bottom w:val="single" w:sz="12" w:space="0" w:color="FFFFFF"/>
        </w:tcBorders>
        <w:shd w:val="clear" w:color="auto" w:fill="796E6E"/>
      </w:tcPr>
    </w:tblStylePr>
    <w:tblStylePr w:type="lastRow">
      <w:rPr>
        <w:b/>
        <w:bCs/>
        <w:color w:val="796E6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cPr>
    </w:tblStylePr>
    <w:tblStylePr w:type="band1Horz">
      <w:tblPr/>
      <w:tcPr>
        <w:shd w:val="clear" w:color="auto" w:fill="E4EDEB"/>
      </w:tcPr>
    </w:tblStylePr>
  </w:style>
  <w:style w:type="table" w:customStyle="1" w:styleId="Listavistosa-nfasis62">
    <w:name w:val="Lista vistosa - Énfasis 62"/>
    <w:basedOn w:val="TableNormal"/>
    <w:next w:val="ColorfulList-Accent6"/>
    <w:uiPriority w:val="72"/>
    <w:semiHidden/>
    <w:unhideWhenUsed/>
    <w:rsid w:val="00233AC6"/>
    <w:rPr>
      <w:rFonts w:ascii="Century Gothic" w:eastAsia="Meiryo" w:hAnsi="Century Gothic" w:cs="Arial"/>
      <w:color w:val="000000"/>
      <w:sz w:val="20"/>
      <w:szCs w:val="20"/>
      <w:lang w:val="en-US" w:eastAsia="zh-CN"/>
    </w:rPr>
    <w:tblPr>
      <w:tblStyleRowBandSize w:val="1"/>
      <w:tblStyleColBandSize w:val="1"/>
    </w:tblPr>
    <w:tcPr>
      <w:shd w:val="clear" w:color="auto" w:fill="F4F3F3"/>
    </w:tcPr>
    <w:tblStylePr w:type="firstRow">
      <w:rPr>
        <w:b/>
        <w:bCs/>
        <w:color w:val="FFFFFF"/>
      </w:rPr>
      <w:tblPr/>
      <w:tcPr>
        <w:tcBorders>
          <w:bottom w:val="single" w:sz="12" w:space="0" w:color="FFFFFF"/>
        </w:tcBorders>
        <w:shd w:val="clear" w:color="auto" w:fill="5C8B80"/>
      </w:tcPr>
    </w:tblStylePr>
    <w:tblStylePr w:type="lastRow">
      <w:rPr>
        <w:b/>
        <w:bCs/>
        <w:color w:val="5C8B8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cPr>
    </w:tblStylePr>
    <w:tblStylePr w:type="band1Horz">
      <w:tblPr/>
      <w:tcPr>
        <w:shd w:val="clear" w:color="auto" w:fill="EAE8E8"/>
      </w:tcPr>
    </w:tblStylePr>
  </w:style>
  <w:style w:type="table" w:customStyle="1" w:styleId="Tablavistosa12">
    <w:name w:val="Tabla vistosa 12"/>
    <w:basedOn w:val="TableNormal"/>
    <w:next w:val="TableColorful1"/>
    <w:uiPriority w:val="99"/>
    <w:semiHidden/>
    <w:unhideWhenUsed/>
    <w:rsid w:val="00233AC6"/>
    <w:rPr>
      <w:rFonts w:ascii="Century Gothic" w:eastAsia="Meiryo" w:hAnsi="Century Gothic" w:cs="Arial"/>
      <w:color w:val="FFFFFF"/>
      <w:sz w:val="20"/>
      <w:szCs w:val="20"/>
      <w:lang w:val="en-US"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22">
    <w:name w:val="Tabla vistosa 22"/>
    <w:basedOn w:val="TableNormal"/>
    <w:next w:val="TableColorful2"/>
    <w:uiPriority w:val="99"/>
    <w:semiHidden/>
    <w:unhideWhenUsed/>
    <w:rsid w:val="00233AC6"/>
    <w:rPr>
      <w:rFonts w:ascii="Century Gothic" w:eastAsia="Meiryo" w:hAnsi="Century Gothic" w:cs="Arial"/>
      <w:sz w:val="20"/>
      <w:szCs w:val="20"/>
      <w:lang w:val="en-US"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32">
    <w:name w:val="Tabla vistosa 32"/>
    <w:basedOn w:val="TableNormal"/>
    <w:next w:val="TableColorful3"/>
    <w:uiPriority w:val="99"/>
    <w:semiHidden/>
    <w:unhideWhenUsed/>
    <w:rsid w:val="00233AC6"/>
    <w:rPr>
      <w:rFonts w:ascii="Century Gothic" w:eastAsia="Meiryo" w:hAnsi="Century Gothic" w:cs="Arial"/>
      <w:sz w:val="20"/>
      <w:szCs w:val="20"/>
      <w:lang w:val="en-US"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ombreadovistoso2">
    <w:name w:val="Sombreado vistoso2"/>
    <w:basedOn w:val="TableNormal"/>
    <w:next w:val="ColorfulShading"/>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Sombreadovistoso-nfasis12">
    <w:name w:val="Sombreado vistoso - Énfasis 12"/>
    <w:basedOn w:val="TableNormal"/>
    <w:next w:val="ColorfulShading-Accent1"/>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94B6D2"/>
        <w:bottom w:val="single" w:sz="4" w:space="0" w:color="94B6D2"/>
        <w:right w:val="single" w:sz="4" w:space="0" w:color="94B6D2"/>
        <w:insideH w:val="single" w:sz="4" w:space="0" w:color="FFFFFF"/>
        <w:insideV w:val="single" w:sz="4" w:space="0" w:color="FFFFFF"/>
      </w:tblBorders>
    </w:tblPr>
    <w:tcPr>
      <w:shd w:val="clear" w:color="auto" w:fill="F4F7FA"/>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F6F97"/>
      </w:tcPr>
    </w:tblStylePr>
    <w:tblStylePr w:type="firstCol">
      <w:rPr>
        <w:color w:val="FFFFFF"/>
      </w:rPr>
      <w:tblPr/>
      <w:tcPr>
        <w:tcBorders>
          <w:top w:val="nil"/>
          <w:left w:val="nil"/>
          <w:bottom w:val="nil"/>
          <w:right w:val="nil"/>
          <w:insideH w:val="single" w:sz="4" w:space="0" w:color="3F6F97"/>
          <w:insideV w:val="nil"/>
        </w:tcBorders>
        <w:shd w:val="clear" w:color="auto" w:fill="3F6F97"/>
      </w:tcPr>
    </w:tblStylePr>
    <w:tblStylePr w:type="lastCol">
      <w:rPr>
        <w:color w:val="FFFFFF"/>
      </w:rPr>
      <w:tblPr/>
      <w:tcPr>
        <w:tcBorders>
          <w:top w:val="nil"/>
          <w:left w:val="nil"/>
          <w:bottom w:val="nil"/>
          <w:right w:val="nil"/>
          <w:insideH w:val="nil"/>
          <w:insideV w:val="nil"/>
        </w:tcBorders>
        <w:shd w:val="clear" w:color="auto" w:fill="3F6F97"/>
      </w:tcPr>
    </w:tblStylePr>
    <w:tblStylePr w:type="band1Vert">
      <w:tblPr/>
      <w:tcPr>
        <w:shd w:val="clear" w:color="auto" w:fill="D4E1ED"/>
      </w:tcPr>
    </w:tblStylePr>
    <w:tblStylePr w:type="band1Horz">
      <w:tblPr/>
      <w:tcPr>
        <w:shd w:val="clear" w:color="auto" w:fill="C9DAE8"/>
      </w:tcPr>
    </w:tblStylePr>
    <w:tblStylePr w:type="neCell">
      <w:rPr>
        <w:color w:val="000000"/>
      </w:rPr>
    </w:tblStylePr>
    <w:tblStylePr w:type="nwCell">
      <w:rPr>
        <w:color w:val="000000"/>
      </w:rPr>
    </w:tblStylePr>
  </w:style>
  <w:style w:type="table" w:customStyle="1" w:styleId="Sombreadovistoso-nfasis22">
    <w:name w:val="Sombreado vistoso - Énfasis 22"/>
    <w:basedOn w:val="TableNormal"/>
    <w:next w:val="ColorfulShading-Accent2"/>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DD8047"/>
        <w:left w:val="single" w:sz="4" w:space="0" w:color="DD8047"/>
        <w:bottom w:val="single" w:sz="4" w:space="0" w:color="DD8047"/>
        <w:right w:val="single" w:sz="4" w:space="0" w:color="DD8047"/>
        <w:insideH w:val="single" w:sz="4" w:space="0" w:color="FFFFFF"/>
        <w:insideV w:val="single" w:sz="4" w:space="0" w:color="FFFFFF"/>
      </w:tblBorders>
    </w:tblPr>
    <w:tcPr>
      <w:shd w:val="clear" w:color="auto" w:fill="FBF2EC"/>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3481B"/>
      </w:tcPr>
    </w:tblStylePr>
    <w:tblStylePr w:type="firstCol">
      <w:rPr>
        <w:color w:val="FFFFFF"/>
      </w:rPr>
      <w:tblPr/>
      <w:tcPr>
        <w:tcBorders>
          <w:top w:val="nil"/>
          <w:left w:val="nil"/>
          <w:bottom w:val="nil"/>
          <w:right w:val="nil"/>
          <w:insideH w:val="single" w:sz="4" w:space="0" w:color="93481B"/>
          <w:insideV w:val="nil"/>
        </w:tcBorders>
        <w:shd w:val="clear" w:color="auto" w:fill="93481B"/>
      </w:tcPr>
    </w:tblStylePr>
    <w:tblStylePr w:type="lastCol">
      <w:rPr>
        <w:color w:val="FFFFFF"/>
      </w:rPr>
      <w:tblPr/>
      <w:tcPr>
        <w:tcBorders>
          <w:top w:val="nil"/>
          <w:left w:val="nil"/>
          <w:bottom w:val="nil"/>
          <w:right w:val="nil"/>
          <w:insideH w:val="nil"/>
          <w:insideV w:val="nil"/>
        </w:tcBorders>
        <w:shd w:val="clear" w:color="auto" w:fill="93481B"/>
      </w:tcPr>
    </w:tblStylePr>
    <w:tblStylePr w:type="band1Vert">
      <w:tblPr/>
      <w:tcPr>
        <w:shd w:val="clear" w:color="auto" w:fill="F1CBB5"/>
      </w:tcPr>
    </w:tblStylePr>
    <w:tblStylePr w:type="band1Horz">
      <w:tblPr/>
      <w:tcPr>
        <w:shd w:val="clear" w:color="auto" w:fill="EEBFA3"/>
      </w:tcPr>
    </w:tblStylePr>
    <w:tblStylePr w:type="neCell">
      <w:rPr>
        <w:color w:val="000000"/>
      </w:rPr>
    </w:tblStylePr>
    <w:tblStylePr w:type="nwCell">
      <w:rPr>
        <w:color w:val="000000"/>
      </w:rPr>
    </w:tblStylePr>
  </w:style>
  <w:style w:type="table" w:customStyle="1" w:styleId="Sombreadovistoso-nfasis32">
    <w:name w:val="Sombreado vistoso - Énfasis 32"/>
    <w:basedOn w:val="TableNormal"/>
    <w:next w:val="ColorfulShading-Accent3"/>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D8B25C"/>
        <w:left w:val="single" w:sz="4" w:space="0" w:color="A5AB81"/>
        <w:bottom w:val="single" w:sz="4" w:space="0" w:color="A5AB81"/>
        <w:right w:val="single" w:sz="4" w:space="0" w:color="A5AB81"/>
        <w:insideH w:val="single" w:sz="4" w:space="0" w:color="FFFFFF"/>
        <w:insideV w:val="single" w:sz="4" w:space="0" w:color="FFFFFF"/>
      </w:tblBorders>
    </w:tblPr>
    <w:tcPr>
      <w:shd w:val="clear" w:color="auto" w:fill="F6F6F2"/>
    </w:tcPr>
    <w:tblStylePr w:type="firstRow">
      <w:rPr>
        <w:b/>
        <w:bCs/>
      </w:rPr>
      <w:tblPr/>
      <w:tcPr>
        <w:tcBorders>
          <w:top w:val="nil"/>
          <w:left w:val="nil"/>
          <w:bottom w:val="single" w:sz="24" w:space="0" w:color="D8B25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66C48"/>
      </w:tcPr>
    </w:tblStylePr>
    <w:tblStylePr w:type="firstCol">
      <w:rPr>
        <w:color w:val="FFFFFF"/>
      </w:rPr>
      <w:tblPr/>
      <w:tcPr>
        <w:tcBorders>
          <w:top w:val="nil"/>
          <w:left w:val="nil"/>
          <w:bottom w:val="nil"/>
          <w:right w:val="nil"/>
          <w:insideH w:val="single" w:sz="4" w:space="0" w:color="666C48"/>
          <w:insideV w:val="nil"/>
        </w:tcBorders>
        <w:shd w:val="clear" w:color="auto" w:fill="666C48"/>
      </w:tcPr>
    </w:tblStylePr>
    <w:tblStylePr w:type="lastCol">
      <w:rPr>
        <w:color w:val="FFFFFF"/>
      </w:rPr>
      <w:tblPr/>
      <w:tcPr>
        <w:tcBorders>
          <w:top w:val="nil"/>
          <w:left w:val="nil"/>
          <w:bottom w:val="nil"/>
          <w:right w:val="nil"/>
          <w:insideH w:val="nil"/>
          <w:insideV w:val="nil"/>
        </w:tcBorders>
        <w:shd w:val="clear" w:color="auto" w:fill="666C48"/>
      </w:tcPr>
    </w:tblStylePr>
    <w:tblStylePr w:type="band1Vert">
      <w:tblPr/>
      <w:tcPr>
        <w:shd w:val="clear" w:color="auto" w:fill="DBDDCC"/>
      </w:tcPr>
    </w:tblStylePr>
    <w:tblStylePr w:type="band1Horz">
      <w:tblPr/>
      <w:tcPr>
        <w:shd w:val="clear" w:color="auto" w:fill="D2D5C0"/>
      </w:tcPr>
    </w:tblStylePr>
  </w:style>
  <w:style w:type="table" w:customStyle="1" w:styleId="Sombreadovistoso-nfasis42">
    <w:name w:val="Sombreado vistoso - Énfasis 42"/>
    <w:basedOn w:val="TableNormal"/>
    <w:next w:val="ColorfulShading-Accent4"/>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A5AB81"/>
        <w:left w:val="single" w:sz="4" w:space="0" w:color="D8B25C"/>
        <w:bottom w:val="single" w:sz="4" w:space="0" w:color="D8B25C"/>
        <w:right w:val="single" w:sz="4" w:space="0" w:color="D8B25C"/>
        <w:insideH w:val="single" w:sz="4" w:space="0" w:color="FFFFFF"/>
        <w:insideV w:val="single" w:sz="4" w:space="0" w:color="FFFFFF"/>
      </w:tblBorders>
    </w:tblPr>
    <w:tcPr>
      <w:shd w:val="clear" w:color="auto" w:fill="FBF7EE"/>
    </w:tcPr>
    <w:tblStylePr w:type="firstRow">
      <w:rPr>
        <w:b/>
        <w:bCs/>
      </w:rPr>
      <w:tblPr/>
      <w:tcPr>
        <w:tcBorders>
          <w:top w:val="nil"/>
          <w:left w:val="nil"/>
          <w:bottom w:val="single" w:sz="24" w:space="0" w:color="A5AB8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57123"/>
      </w:tcPr>
    </w:tblStylePr>
    <w:tblStylePr w:type="firstCol">
      <w:rPr>
        <w:color w:val="FFFFFF"/>
      </w:rPr>
      <w:tblPr/>
      <w:tcPr>
        <w:tcBorders>
          <w:top w:val="nil"/>
          <w:left w:val="nil"/>
          <w:bottom w:val="nil"/>
          <w:right w:val="nil"/>
          <w:insideH w:val="single" w:sz="4" w:space="0" w:color="957123"/>
          <w:insideV w:val="nil"/>
        </w:tcBorders>
        <w:shd w:val="clear" w:color="auto" w:fill="957123"/>
      </w:tcPr>
    </w:tblStylePr>
    <w:tblStylePr w:type="lastCol">
      <w:rPr>
        <w:color w:val="FFFFFF"/>
      </w:rPr>
      <w:tblPr/>
      <w:tcPr>
        <w:tcBorders>
          <w:top w:val="nil"/>
          <w:left w:val="nil"/>
          <w:bottom w:val="nil"/>
          <w:right w:val="nil"/>
          <w:insideH w:val="nil"/>
          <w:insideV w:val="nil"/>
        </w:tcBorders>
        <w:shd w:val="clear" w:color="auto" w:fill="957123"/>
      </w:tcPr>
    </w:tblStylePr>
    <w:tblStylePr w:type="band1Vert">
      <w:tblPr/>
      <w:tcPr>
        <w:shd w:val="clear" w:color="auto" w:fill="EFE0BD"/>
      </w:tcPr>
    </w:tblStylePr>
    <w:tblStylePr w:type="band1Horz">
      <w:tblPr/>
      <w:tcPr>
        <w:shd w:val="clear" w:color="auto" w:fill="EBD8AD"/>
      </w:tcPr>
    </w:tblStylePr>
    <w:tblStylePr w:type="neCell">
      <w:rPr>
        <w:color w:val="000000"/>
      </w:rPr>
    </w:tblStylePr>
    <w:tblStylePr w:type="nwCell">
      <w:rPr>
        <w:color w:val="000000"/>
      </w:rPr>
    </w:tblStylePr>
  </w:style>
  <w:style w:type="table" w:customStyle="1" w:styleId="Sombreadovistoso-nfasis52">
    <w:name w:val="Sombreado vistoso - Énfasis 52"/>
    <w:basedOn w:val="TableNormal"/>
    <w:next w:val="ColorfulShading-Accent5"/>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968C8C"/>
        <w:left w:val="single" w:sz="4" w:space="0" w:color="7BA79D"/>
        <w:bottom w:val="single" w:sz="4" w:space="0" w:color="7BA79D"/>
        <w:right w:val="single" w:sz="4" w:space="0" w:color="7BA79D"/>
        <w:insideH w:val="single" w:sz="4" w:space="0" w:color="FFFFFF"/>
        <w:insideV w:val="single" w:sz="4" w:space="0" w:color="FFFFFF"/>
      </w:tblBorders>
    </w:tblPr>
    <w:tcPr>
      <w:shd w:val="clear" w:color="auto" w:fill="F2F6F5"/>
    </w:tcPr>
    <w:tblStylePr w:type="firstRow">
      <w:rPr>
        <w:b/>
        <w:bCs/>
      </w:rPr>
      <w:tblPr/>
      <w:tcPr>
        <w:tcBorders>
          <w:top w:val="nil"/>
          <w:left w:val="nil"/>
          <w:bottom w:val="single" w:sz="24" w:space="0" w:color="968C8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6860"/>
      </w:tcPr>
    </w:tblStylePr>
    <w:tblStylePr w:type="firstCol">
      <w:rPr>
        <w:color w:val="FFFFFF"/>
      </w:rPr>
      <w:tblPr/>
      <w:tcPr>
        <w:tcBorders>
          <w:top w:val="nil"/>
          <w:left w:val="nil"/>
          <w:bottom w:val="nil"/>
          <w:right w:val="nil"/>
          <w:insideH w:val="single" w:sz="4" w:space="0" w:color="456860"/>
          <w:insideV w:val="nil"/>
        </w:tcBorders>
        <w:shd w:val="clear" w:color="auto" w:fill="456860"/>
      </w:tcPr>
    </w:tblStylePr>
    <w:tblStylePr w:type="lastCol">
      <w:rPr>
        <w:color w:val="FFFFFF"/>
      </w:rPr>
      <w:tblPr/>
      <w:tcPr>
        <w:tcBorders>
          <w:top w:val="nil"/>
          <w:left w:val="nil"/>
          <w:bottom w:val="nil"/>
          <w:right w:val="nil"/>
          <w:insideH w:val="nil"/>
          <w:insideV w:val="nil"/>
        </w:tcBorders>
        <w:shd w:val="clear" w:color="auto" w:fill="456860"/>
      </w:tcPr>
    </w:tblStylePr>
    <w:tblStylePr w:type="band1Vert">
      <w:tblPr/>
      <w:tcPr>
        <w:shd w:val="clear" w:color="auto" w:fill="CADBD7"/>
      </w:tcPr>
    </w:tblStylePr>
    <w:tblStylePr w:type="band1Horz">
      <w:tblPr/>
      <w:tcPr>
        <w:shd w:val="clear" w:color="auto" w:fill="BDD3CE"/>
      </w:tcPr>
    </w:tblStylePr>
    <w:tblStylePr w:type="neCell">
      <w:rPr>
        <w:color w:val="000000"/>
      </w:rPr>
    </w:tblStylePr>
    <w:tblStylePr w:type="nwCell">
      <w:rPr>
        <w:color w:val="000000"/>
      </w:rPr>
    </w:tblStylePr>
  </w:style>
  <w:style w:type="table" w:customStyle="1" w:styleId="Sombreadovistoso-nfasis62">
    <w:name w:val="Sombreado vistoso - Énfasis 62"/>
    <w:basedOn w:val="TableNormal"/>
    <w:next w:val="ColorfulShading-Accent6"/>
    <w:uiPriority w:val="71"/>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24" w:space="0" w:color="7BA79D"/>
        <w:left w:val="single" w:sz="4" w:space="0" w:color="968C8C"/>
        <w:bottom w:val="single" w:sz="4" w:space="0" w:color="968C8C"/>
        <w:right w:val="single" w:sz="4" w:space="0" w:color="968C8C"/>
        <w:insideH w:val="single" w:sz="4" w:space="0" w:color="FFFFFF"/>
        <w:insideV w:val="single" w:sz="4" w:space="0" w:color="FFFFFF"/>
      </w:tblBorders>
    </w:tblPr>
    <w:tcPr>
      <w:shd w:val="clear" w:color="auto" w:fill="F4F3F3"/>
    </w:tcPr>
    <w:tblStylePr w:type="firstRow">
      <w:rPr>
        <w:b/>
        <w:bCs/>
      </w:rPr>
      <w:tblPr/>
      <w:tcPr>
        <w:tcBorders>
          <w:top w:val="nil"/>
          <w:left w:val="nil"/>
          <w:bottom w:val="single" w:sz="24" w:space="0" w:color="7BA79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353"/>
      </w:tcPr>
    </w:tblStylePr>
    <w:tblStylePr w:type="firstCol">
      <w:rPr>
        <w:color w:val="FFFFFF"/>
      </w:rPr>
      <w:tblPr/>
      <w:tcPr>
        <w:tcBorders>
          <w:top w:val="nil"/>
          <w:left w:val="nil"/>
          <w:bottom w:val="nil"/>
          <w:right w:val="nil"/>
          <w:insideH w:val="single" w:sz="4" w:space="0" w:color="5A5353"/>
          <w:insideV w:val="nil"/>
        </w:tcBorders>
        <w:shd w:val="clear" w:color="auto" w:fill="5A5353"/>
      </w:tcPr>
    </w:tblStylePr>
    <w:tblStylePr w:type="lastCol">
      <w:rPr>
        <w:color w:val="FFFFFF"/>
      </w:rPr>
      <w:tblPr/>
      <w:tcPr>
        <w:tcBorders>
          <w:top w:val="nil"/>
          <w:left w:val="nil"/>
          <w:bottom w:val="nil"/>
          <w:right w:val="nil"/>
          <w:insideH w:val="nil"/>
          <w:insideV w:val="nil"/>
        </w:tcBorders>
        <w:shd w:val="clear" w:color="auto" w:fill="5A5353"/>
      </w:tcPr>
    </w:tblStylePr>
    <w:tblStylePr w:type="band1Vert">
      <w:tblPr/>
      <w:tcPr>
        <w:shd w:val="clear" w:color="auto" w:fill="D5D1D1"/>
      </w:tcPr>
    </w:tblStylePr>
    <w:tblStylePr w:type="band1Horz">
      <w:tblPr/>
      <w:tcPr>
        <w:shd w:val="clear" w:color="auto" w:fill="CAC5C5"/>
      </w:tcPr>
    </w:tblStylePr>
    <w:tblStylePr w:type="neCell">
      <w:rPr>
        <w:color w:val="000000"/>
      </w:rPr>
    </w:tblStylePr>
    <w:tblStylePr w:type="nwCell">
      <w:rPr>
        <w:color w:val="000000"/>
      </w:rPr>
    </w:tblStylePr>
  </w:style>
  <w:style w:type="table" w:customStyle="1" w:styleId="Cuadrculavistosa2">
    <w:name w:val="Cuadrícula vistosa2"/>
    <w:basedOn w:val="TableNormal"/>
    <w:next w:val="ColorfulGrid"/>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uadrculavistosa-nfasis12">
    <w:name w:val="Cuadrícula vistosa - Énfasis 12"/>
    <w:basedOn w:val="TableNormal"/>
    <w:next w:val="ColorfulGrid-Accent1"/>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9F0F6"/>
    </w:tcPr>
    <w:tblStylePr w:type="firstRow">
      <w:rPr>
        <w:b/>
        <w:bCs/>
      </w:rPr>
      <w:tblPr/>
      <w:tcPr>
        <w:shd w:val="clear" w:color="auto" w:fill="D4E1ED"/>
      </w:tcPr>
    </w:tblStylePr>
    <w:tblStylePr w:type="lastRow">
      <w:rPr>
        <w:b/>
        <w:bCs/>
        <w:color w:val="000000"/>
      </w:rPr>
      <w:tblPr/>
      <w:tcPr>
        <w:shd w:val="clear" w:color="auto" w:fill="D4E1ED"/>
      </w:tcPr>
    </w:tblStylePr>
    <w:tblStylePr w:type="firstCol">
      <w:rPr>
        <w:color w:val="FFFFFF"/>
      </w:rPr>
      <w:tblPr/>
      <w:tcPr>
        <w:shd w:val="clear" w:color="auto" w:fill="548AB7"/>
      </w:tcPr>
    </w:tblStylePr>
    <w:tblStylePr w:type="lastCol">
      <w:rPr>
        <w:color w:val="FFFFFF"/>
      </w:rPr>
      <w:tblPr/>
      <w:tcPr>
        <w:shd w:val="clear" w:color="auto" w:fill="548AB7"/>
      </w:tcPr>
    </w:tblStylePr>
    <w:tblStylePr w:type="band1Vert">
      <w:tblPr/>
      <w:tcPr>
        <w:shd w:val="clear" w:color="auto" w:fill="C9DAE8"/>
      </w:tcPr>
    </w:tblStylePr>
    <w:tblStylePr w:type="band1Horz">
      <w:tblPr/>
      <w:tcPr>
        <w:shd w:val="clear" w:color="auto" w:fill="C9DAE8"/>
      </w:tcPr>
    </w:tblStylePr>
  </w:style>
  <w:style w:type="table" w:customStyle="1" w:styleId="Cuadrculavistosa-nfasis22">
    <w:name w:val="Cuadrícula vistosa - Énfasis 22"/>
    <w:basedOn w:val="TableNormal"/>
    <w:next w:val="ColorfulGrid-Accent2"/>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F8E5DA"/>
    </w:tcPr>
    <w:tblStylePr w:type="firstRow">
      <w:rPr>
        <w:b/>
        <w:bCs/>
      </w:rPr>
      <w:tblPr/>
      <w:tcPr>
        <w:shd w:val="clear" w:color="auto" w:fill="F1CBB5"/>
      </w:tcPr>
    </w:tblStylePr>
    <w:tblStylePr w:type="lastRow">
      <w:rPr>
        <w:b/>
        <w:bCs/>
        <w:color w:val="000000"/>
      </w:rPr>
      <w:tblPr/>
      <w:tcPr>
        <w:shd w:val="clear" w:color="auto" w:fill="F1CBB5"/>
      </w:tcPr>
    </w:tblStylePr>
    <w:tblStylePr w:type="firstCol">
      <w:rPr>
        <w:color w:val="FFFFFF"/>
      </w:rPr>
      <w:tblPr/>
      <w:tcPr>
        <w:shd w:val="clear" w:color="auto" w:fill="B85A22"/>
      </w:tcPr>
    </w:tblStylePr>
    <w:tblStylePr w:type="lastCol">
      <w:rPr>
        <w:color w:val="FFFFFF"/>
      </w:rPr>
      <w:tblPr/>
      <w:tcPr>
        <w:shd w:val="clear" w:color="auto" w:fill="B85A22"/>
      </w:tcPr>
    </w:tblStylePr>
    <w:tblStylePr w:type="band1Vert">
      <w:tblPr/>
      <w:tcPr>
        <w:shd w:val="clear" w:color="auto" w:fill="EEBFA3"/>
      </w:tcPr>
    </w:tblStylePr>
    <w:tblStylePr w:type="band1Horz">
      <w:tblPr/>
      <w:tcPr>
        <w:shd w:val="clear" w:color="auto" w:fill="EEBFA3"/>
      </w:tcPr>
    </w:tblStylePr>
  </w:style>
  <w:style w:type="table" w:customStyle="1" w:styleId="Cuadrculavistosa-nfasis32">
    <w:name w:val="Cuadrícula vistosa - Énfasis 32"/>
    <w:basedOn w:val="TableNormal"/>
    <w:next w:val="ColorfulGrid-Accent3"/>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DEEE5"/>
    </w:tcPr>
    <w:tblStylePr w:type="firstRow">
      <w:rPr>
        <w:b/>
        <w:bCs/>
      </w:rPr>
      <w:tblPr/>
      <w:tcPr>
        <w:shd w:val="clear" w:color="auto" w:fill="DBDDCC"/>
      </w:tcPr>
    </w:tblStylePr>
    <w:tblStylePr w:type="lastRow">
      <w:rPr>
        <w:b/>
        <w:bCs/>
        <w:color w:val="000000"/>
      </w:rPr>
      <w:tblPr/>
      <w:tcPr>
        <w:shd w:val="clear" w:color="auto" w:fill="DBDDCC"/>
      </w:tcPr>
    </w:tblStylePr>
    <w:tblStylePr w:type="firstCol">
      <w:rPr>
        <w:color w:val="FFFFFF"/>
      </w:rPr>
      <w:tblPr/>
      <w:tcPr>
        <w:shd w:val="clear" w:color="auto" w:fill="80865A"/>
      </w:tcPr>
    </w:tblStylePr>
    <w:tblStylePr w:type="lastCol">
      <w:rPr>
        <w:color w:val="FFFFFF"/>
      </w:rPr>
      <w:tblPr/>
      <w:tcPr>
        <w:shd w:val="clear" w:color="auto" w:fill="80865A"/>
      </w:tcPr>
    </w:tblStylePr>
    <w:tblStylePr w:type="band1Vert">
      <w:tblPr/>
      <w:tcPr>
        <w:shd w:val="clear" w:color="auto" w:fill="D2D5C0"/>
      </w:tcPr>
    </w:tblStylePr>
    <w:tblStylePr w:type="band1Horz">
      <w:tblPr/>
      <w:tcPr>
        <w:shd w:val="clear" w:color="auto" w:fill="D2D5C0"/>
      </w:tcPr>
    </w:tblStylePr>
  </w:style>
  <w:style w:type="table" w:customStyle="1" w:styleId="Cuadrculavistosa-nfasis42">
    <w:name w:val="Cuadrícula vistosa - Énfasis 42"/>
    <w:basedOn w:val="TableNormal"/>
    <w:next w:val="ColorfulGrid-Accent4"/>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F7EFDE"/>
    </w:tcPr>
    <w:tblStylePr w:type="firstRow">
      <w:rPr>
        <w:b/>
        <w:bCs/>
      </w:rPr>
      <w:tblPr/>
      <w:tcPr>
        <w:shd w:val="clear" w:color="auto" w:fill="EFE0BD"/>
      </w:tcPr>
    </w:tblStylePr>
    <w:tblStylePr w:type="lastRow">
      <w:rPr>
        <w:b/>
        <w:bCs/>
        <w:color w:val="000000"/>
      </w:rPr>
      <w:tblPr/>
      <w:tcPr>
        <w:shd w:val="clear" w:color="auto" w:fill="EFE0BD"/>
      </w:tcPr>
    </w:tblStylePr>
    <w:tblStylePr w:type="firstCol">
      <w:rPr>
        <w:color w:val="FFFFFF"/>
      </w:rPr>
      <w:tblPr/>
      <w:tcPr>
        <w:shd w:val="clear" w:color="auto" w:fill="BA8E2C"/>
      </w:tcPr>
    </w:tblStylePr>
    <w:tblStylePr w:type="lastCol">
      <w:rPr>
        <w:color w:val="FFFFFF"/>
      </w:rPr>
      <w:tblPr/>
      <w:tcPr>
        <w:shd w:val="clear" w:color="auto" w:fill="BA8E2C"/>
      </w:tcPr>
    </w:tblStylePr>
    <w:tblStylePr w:type="band1Vert">
      <w:tblPr/>
      <w:tcPr>
        <w:shd w:val="clear" w:color="auto" w:fill="EBD8AD"/>
      </w:tcPr>
    </w:tblStylePr>
    <w:tblStylePr w:type="band1Horz">
      <w:tblPr/>
      <w:tcPr>
        <w:shd w:val="clear" w:color="auto" w:fill="EBD8AD"/>
      </w:tcPr>
    </w:tblStylePr>
  </w:style>
  <w:style w:type="table" w:customStyle="1" w:styleId="Cuadrculavistosa-nfasis52">
    <w:name w:val="Cuadrícula vistosa - Énfasis 52"/>
    <w:basedOn w:val="TableNormal"/>
    <w:next w:val="ColorfulGrid-Accent5"/>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4EDEB"/>
    </w:tcPr>
    <w:tblStylePr w:type="firstRow">
      <w:rPr>
        <w:b/>
        <w:bCs/>
      </w:rPr>
      <w:tblPr/>
      <w:tcPr>
        <w:shd w:val="clear" w:color="auto" w:fill="CADBD7"/>
      </w:tcPr>
    </w:tblStylePr>
    <w:tblStylePr w:type="lastRow">
      <w:rPr>
        <w:b/>
        <w:bCs/>
        <w:color w:val="000000"/>
      </w:rPr>
      <w:tblPr/>
      <w:tcPr>
        <w:shd w:val="clear" w:color="auto" w:fill="CADBD7"/>
      </w:tcPr>
    </w:tblStylePr>
    <w:tblStylePr w:type="firstCol">
      <w:rPr>
        <w:color w:val="FFFFFF"/>
      </w:rPr>
      <w:tblPr/>
      <w:tcPr>
        <w:shd w:val="clear" w:color="auto" w:fill="568278"/>
      </w:tcPr>
    </w:tblStylePr>
    <w:tblStylePr w:type="lastCol">
      <w:rPr>
        <w:color w:val="FFFFFF"/>
      </w:rPr>
      <w:tblPr/>
      <w:tcPr>
        <w:shd w:val="clear" w:color="auto" w:fill="568278"/>
      </w:tcPr>
    </w:tblStylePr>
    <w:tblStylePr w:type="band1Vert">
      <w:tblPr/>
      <w:tcPr>
        <w:shd w:val="clear" w:color="auto" w:fill="BDD3CE"/>
      </w:tcPr>
    </w:tblStylePr>
    <w:tblStylePr w:type="band1Horz">
      <w:tblPr/>
      <w:tcPr>
        <w:shd w:val="clear" w:color="auto" w:fill="BDD3CE"/>
      </w:tcPr>
    </w:tblStylePr>
  </w:style>
  <w:style w:type="table" w:customStyle="1" w:styleId="Cuadrculavistosa-nfasis62">
    <w:name w:val="Cuadrícula vistosa - Énfasis 62"/>
    <w:basedOn w:val="TableNormal"/>
    <w:next w:val="ColorfulGrid-Accent6"/>
    <w:uiPriority w:val="73"/>
    <w:semiHidden/>
    <w:unhideWhenUsed/>
    <w:rsid w:val="00233AC6"/>
    <w:rPr>
      <w:rFonts w:ascii="Century Gothic" w:eastAsia="Meiryo" w:hAnsi="Century Gothic" w:cs="Arial"/>
      <w:color w:val="000000"/>
      <w:sz w:val="20"/>
      <w:szCs w:val="20"/>
      <w:lang w:val="en-US" w:eastAsia="zh-CN"/>
    </w:rPr>
    <w:tblPr>
      <w:tblStyleRowBandSize w:val="1"/>
      <w:tblStyleColBandSize w:val="1"/>
      <w:tblBorders>
        <w:insideH w:val="single" w:sz="4" w:space="0" w:color="FFFFFF"/>
      </w:tblBorders>
    </w:tblPr>
    <w:tcPr>
      <w:shd w:val="clear" w:color="auto" w:fill="EAE8E8"/>
    </w:tcPr>
    <w:tblStylePr w:type="firstRow">
      <w:rPr>
        <w:b/>
        <w:bCs/>
      </w:rPr>
      <w:tblPr/>
      <w:tcPr>
        <w:shd w:val="clear" w:color="auto" w:fill="D5D1D1"/>
      </w:tcPr>
    </w:tblStylePr>
    <w:tblStylePr w:type="lastRow">
      <w:rPr>
        <w:b/>
        <w:bCs/>
        <w:color w:val="000000"/>
      </w:rPr>
      <w:tblPr/>
      <w:tcPr>
        <w:shd w:val="clear" w:color="auto" w:fill="D5D1D1"/>
      </w:tcPr>
    </w:tblStylePr>
    <w:tblStylePr w:type="firstCol">
      <w:rPr>
        <w:color w:val="FFFFFF"/>
      </w:rPr>
      <w:tblPr/>
      <w:tcPr>
        <w:shd w:val="clear" w:color="auto" w:fill="716767"/>
      </w:tcPr>
    </w:tblStylePr>
    <w:tblStylePr w:type="lastCol">
      <w:rPr>
        <w:color w:val="FFFFFF"/>
      </w:rPr>
      <w:tblPr/>
      <w:tcPr>
        <w:shd w:val="clear" w:color="auto" w:fill="716767"/>
      </w:tcPr>
    </w:tblStylePr>
    <w:tblStylePr w:type="band1Vert">
      <w:tblPr/>
      <w:tcPr>
        <w:shd w:val="clear" w:color="auto" w:fill="CAC5C5"/>
      </w:tcPr>
    </w:tblStylePr>
    <w:tblStylePr w:type="band1Horz">
      <w:tblPr/>
      <w:tcPr>
        <w:shd w:val="clear" w:color="auto" w:fill="CAC5C5"/>
      </w:tcPr>
    </w:tblStylePr>
  </w:style>
  <w:style w:type="table" w:customStyle="1" w:styleId="Tablanormal13">
    <w:name w:val="Tabla normal 13"/>
    <w:basedOn w:val="TableNormal"/>
    <w:next w:val="PlainTable1"/>
    <w:uiPriority w:val="41"/>
    <w:rsid w:val="00233AC6"/>
    <w:rPr>
      <w:rFonts w:ascii="Century Gothic" w:eastAsia="Meiryo" w:hAnsi="Century Gothic" w:cs="Arial"/>
      <w:sz w:val="20"/>
      <w:szCs w:val="20"/>
      <w:lang w:val="en-US"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3">
    <w:name w:val="Tabla normal 23"/>
    <w:basedOn w:val="TableNormal"/>
    <w:next w:val="PlainTable2"/>
    <w:uiPriority w:val="42"/>
    <w:rsid w:val="00233AC6"/>
    <w:rPr>
      <w:rFonts w:ascii="Century Gothic" w:eastAsia="Meiryo" w:hAnsi="Century Gothic" w:cs="Arial"/>
      <w:sz w:val="20"/>
      <w:szCs w:val="20"/>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33">
    <w:name w:val="Tabla normal 33"/>
    <w:basedOn w:val="TableNormal"/>
    <w:next w:val="PlainTable3"/>
    <w:uiPriority w:val="43"/>
    <w:rsid w:val="00233AC6"/>
    <w:rPr>
      <w:rFonts w:ascii="Century Gothic" w:eastAsia="Meiryo" w:hAnsi="Century Gothic" w:cs="Arial"/>
      <w:sz w:val="20"/>
      <w:szCs w:val="20"/>
      <w:lang w:val="en-US"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43">
    <w:name w:val="Tabla normal 43"/>
    <w:basedOn w:val="TableNormal"/>
    <w:next w:val="PlainTable4"/>
    <w:uiPriority w:val="44"/>
    <w:rsid w:val="00233AC6"/>
    <w:rPr>
      <w:rFonts w:ascii="Century Gothic" w:eastAsia="Meiryo" w:hAnsi="Century Gothic" w:cs="Arial"/>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53">
    <w:name w:val="Tabla normal 53"/>
    <w:basedOn w:val="TableNormal"/>
    <w:next w:val="PlainTable5"/>
    <w:uiPriority w:val="45"/>
    <w:rsid w:val="00233AC6"/>
    <w:rPr>
      <w:rFonts w:ascii="Century Gothic" w:eastAsia="Meiryo" w:hAnsi="Century Gothic" w:cs="Arial"/>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7F7F7F"/>
        </w:tcBorders>
        <w:shd w:val="clear" w:color="auto" w:fill="FFFFFF"/>
      </w:tcPr>
    </w:tblStylePr>
    <w:tblStylePr w:type="lastRow">
      <w:rPr>
        <w:rFonts w:ascii="Sitka Text Semibold" w:eastAsia="NSimSun" w:hAnsi="Sitka Text Semibold" w:cs="Times New Roman"/>
        <w:i/>
        <w:iCs/>
        <w:sz w:val="26"/>
      </w:rPr>
      <w:tblPr/>
      <w:tcPr>
        <w:tcBorders>
          <w:top w:val="single" w:sz="4" w:space="0" w:color="7F7F7F"/>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7F7F7F"/>
        </w:tcBorders>
        <w:shd w:val="clear" w:color="auto" w:fill="FFFFFF"/>
      </w:tcPr>
    </w:tblStylePr>
    <w:tblStylePr w:type="lastCol">
      <w:rPr>
        <w:rFonts w:ascii="Sitka Text Semibold" w:eastAsia="NSimSun" w:hAnsi="Sitka Text Semibol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moderna2">
    <w:name w:val="Tabla moderna2"/>
    <w:basedOn w:val="TableNormal"/>
    <w:next w:val="TableContemporary"/>
    <w:uiPriority w:val="99"/>
    <w:semiHidden/>
    <w:unhideWhenUsed/>
    <w:rsid w:val="00233AC6"/>
    <w:rPr>
      <w:rFonts w:ascii="Century Gothic" w:eastAsia="Meiryo" w:hAnsi="Century Gothic" w:cs="Arial"/>
      <w:sz w:val="20"/>
      <w:szCs w:val="20"/>
      <w:lang w:val="en-US"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staclara2">
    <w:name w:val="Lista clara2"/>
    <w:basedOn w:val="TableNormal"/>
    <w:next w:val="LightList"/>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2">
    <w:name w:val="Lista clara - Énfasis 12"/>
    <w:basedOn w:val="TableNormal"/>
    <w:next w:val="LightList-Accent1"/>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pPr>
        <w:spacing w:before="0" w:after="0" w:line="240" w:lineRule="auto"/>
      </w:pPr>
      <w:rPr>
        <w:b/>
        <w:bCs/>
        <w:color w:val="FFFFFF"/>
      </w:rPr>
      <w:tblPr/>
      <w:tcPr>
        <w:shd w:val="clear" w:color="auto" w:fill="94B6D2"/>
      </w:tcPr>
    </w:tblStylePr>
    <w:tblStylePr w:type="lastRow">
      <w:pPr>
        <w:spacing w:before="0" w:after="0" w:line="240" w:lineRule="auto"/>
      </w:pPr>
      <w:rPr>
        <w:b/>
        <w:bCs/>
      </w:rPr>
      <w:tblPr/>
      <w:tcPr>
        <w:tcBorders>
          <w:top w:val="double" w:sz="6" w:space="0" w:color="94B6D2"/>
          <w:left w:val="single" w:sz="8" w:space="0" w:color="94B6D2"/>
          <w:bottom w:val="single" w:sz="8" w:space="0" w:color="94B6D2"/>
          <w:right w:val="single" w:sz="8" w:space="0" w:color="94B6D2"/>
        </w:tcBorders>
      </w:tcPr>
    </w:tblStylePr>
    <w:tblStylePr w:type="firstCol">
      <w:rPr>
        <w:b/>
        <w:bCs/>
      </w:rPr>
    </w:tblStylePr>
    <w:tblStylePr w:type="lastCol">
      <w:rPr>
        <w:b/>
        <w:bCs/>
      </w:rPr>
    </w:tblStylePr>
    <w:tblStylePr w:type="band1Vert">
      <w:tblPr/>
      <w:tcPr>
        <w:tcBorders>
          <w:top w:val="single" w:sz="8" w:space="0" w:color="94B6D2"/>
          <w:left w:val="single" w:sz="8" w:space="0" w:color="94B6D2"/>
          <w:bottom w:val="single" w:sz="8" w:space="0" w:color="94B6D2"/>
          <w:right w:val="single" w:sz="8" w:space="0" w:color="94B6D2"/>
        </w:tcBorders>
      </w:tcPr>
    </w:tblStylePr>
    <w:tblStylePr w:type="band1Horz">
      <w:tblPr/>
      <w:tcPr>
        <w:tcBorders>
          <w:top w:val="single" w:sz="8" w:space="0" w:color="94B6D2"/>
          <w:left w:val="single" w:sz="8" w:space="0" w:color="94B6D2"/>
          <w:bottom w:val="single" w:sz="8" w:space="0" w:color="94B6D2"/>
          <w:right w:val="single" w:sz="8" w:space="0" w:color="94B6D2"/>
        </w:tcBorders>
      </w:tcPr>
    </w:tblStylePr>
  </w:style>
  <w:style w:type="table" w:customStyle="1" w:styleId="Listaclara-nfasis22">
    <w:name w:val="Lista clara - Énfasis 22"/>
    <w:basedOn w:val="TableNormal"/>
    <w:next w:val="LightList-Accent2"/>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pPr>
        <w:spacing w:before="0" w:after="0" w:line="240" w:lineRule="auto"/>
      </w:pPr>
      <w:rPr>
        <w:b/>
        <w:bCs/>
        <w:color w:val="FFFFFF"/>
      </w:rPr>
      <w:tblPr/>
      <w:tcPr>
        <w:shd w:val="clear" w:color="auto" w:fill="DD8047"/>
      </w:tcPr>
    </w:tblStylePr>
    <w:tblStylePr w:type="lastRow">
      <w:pPr>
        <w:spacing w:before="0" w:after="0" w:line="240" w:lineRule="auto"/>
      </w:pPr>
      <w:rPr>
        <w:b/>
        <w:bCs/>
      </w:rPr>
      <w:tblPr/>
      <w:tcPr>
        <w:tcBorders>
          <w:top w:val="double" w:sz="6" w:space="0" w:color="DD8047"/>
          <w:left w:val="single" w:sz="8" w:space="0" w:color="DD8047"/>
          <w:bottom w:val="single" w:sz="8" w:space="0" w:color="DD8047"/>
          <w:right w:val="single" w:sz="8" w:space="0" w:color="DD8047"/>
        </w:tcBorders>
      </w:tcPr>
    </w:tblStylePr>
    <w:tblStylePr w:type="firstCol">
      <w:rPr>
        <w:b/>
        <w:bCs/>
      </w:rPr>
    </w:tblStylePr>
    <w:tblStylePr w:type="lastCol">
      <w:rPr>
        <w:b/>
        <w:bCs/>
      </w:rPr>
    </w:tblStylePr>
    <w:tblStylePr w:type="band1Vert">
      <w:tblPr/>
      <w:tcPr>
        <w:tcBorders>
          <w:top w:val="single" w:sz="8" w:space="0" w:color="DD8047"/>
          <w:left w:val="single" w:sz="8" w:space="0" w:color="DD8047"/>
          <w:bottom w:val="single" w:sz="8" w:space="0" w:color="DD8047"/>
          <w:right w:val="single" w:sz="8" w:space="0" w:color="DD8047"/>
        </w:tcBorders>
      </w:tcPr>
    </w:tblStylePr>
    <w:tblStylePr w:type="band1Horz">
      <w:tblPr/>
      <w:tcPr>
        <w:tcBorders>
          <w:top w:val="single" w:sz="8" w:space="0" w:color="DD8047"/>
          <w:left w:val="single" w:sz="8" w:space="0" w:color="DD8047"/>
          <w:bottom w:val="single" w:sz="8" w:space="0" w:color="DD8047"/>
          <w:right w:val="single" w:sz="8" w:space="0" w:color="DD8047"/>
        </w:tcBorders>
      </w:tcPr>
    </w:tblStylePr>
  </w:style>
  <w:style w:type="table" w:customStyle="1" w:styleId="Listaclara-nfasis32">
    <w:name w:val="Lista clara - Énfasis 32"/>
    <w:basedOn w:val="TableNormal"/>
    <w:next w:val="LightList-Accent3"/>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pPr>
        <w:spacing w:before="0" w:after="0" w:line="240" w:lineRule="auto"/>
      </w:pPr>
      <w:rPr>
        <w:b/>
        <w:bCs/>
        <w:color w:val="FFFFFF"/>
      </w:rPr>
      <w:tblPr/>
      <w:tcPr>
        <w:shd w:val="clear" w:color="auto" w:fill="A5AB81"/>
      </w:tcPr>
    </w:tblStylePr>
    <w:tblStylePr w:type="lastRow">
      <w:pPr>
        <w:spacing w:before="0" w:after="0" w:line="240" w:lineRule="auto"/>
      </w:pPr>
      <w:rPr>
        <w:b/>
        <w:bCs/>
      </w:rPr>
      <w:tblPr/>
      <w:tcPr>
        <w:tcBorders>
          <w:top w:val="double" w:sz="6" w:space="0" w:color="A5AB81"/>
          <w:left w:val="single" w:sz="8" w:space="0" w:color="A5AB81"/>
          <w:bottom w:val="single" w:sz="8" w:space="0" w:color="A5AB81"/>
          <w:right w:val="single" w:sz="8" w:space="0" w:color="A5AB81"/>
        </w:tcBorders>
      </w:tcPr>
    </w:tblStylePr>
    <w:tblStylePr w:type="firstCol">
      <w:rPr>
        <w:b/>
        <w:bCs/>
      </w:rPr>
    </w:tblStylePr>
    <w:tblStylePr w:type="lastCol">
      <w:rPr>
        <w:b/>
        <w:bCs/>
      </w:rPr>
    </w:tblStylePr>
    <w:tblStylePr w:type="band1Vert">
      <w:tblPr/>
      <w:tcPr>
        <w:tcBorders>
          <w:top w:val="single" w:sz="8" w:space="0" w:color="A5AB81"/>
          <w:left w:val="single" w:sz="8" w:space="0" w:color="A5AB81"/>
          <w:bottom w:val="single" w:sz="8" w:space="0" w:color="A5AB81"/>
          <w:right w:val="single" w:sz="8" w:space="0" w:color="A5AB81"/>
        </w:tcBorders>
      </w:tcPr>
    </w:tblStylePr>
    <w:tblStylePr w:type="band1Horz">
      <w:tblPr/>
      <w:tcPr>
        <w:tcBorders>
          <w:top w:val="single" w:sz="8" w:space="0" w:color="A5AB81"/>
          <w:left w:val="single" w:sz="8" w:space="0" w:color="A5AB81"/>
          <w:bottom w:val="single" w:sz="8" w:space="0" w:color="A5AB81"/>
          <w:right w:val="single" w:sz="8" w:space="0" w:color="A5AB81"/>
        </w:tcBorders>
      </w:tcPr>
    </w:tblStylePr>
  </w:style>
  <w:style w:type="table" w:customStyle="1" w:styleId="Listaclara-nfasis42">
    <w:name w:val="Lista clara - Énfasis 42"/>
    <w:basedOn w:val="TableNormal"/>
    <w:next w:val="LightList-Accent4"/>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pPr>
        <w:spacing w:before="0" w:after="0" w:line="240" w:lineRule="auto"/>
      </w:pPr>
      <w:rPr>
        <w:b/>
        <w:bCs/>
        <w:color w:val="FFFFFF"/>
      </w:rPr>
      <w:tblPr/>
      <w:tcPr>
        <w:shd w:val="clear" w:color="auto" w:fill="D8B25C"/>
      </w:tcPr>
    </w:tblStylePr>
    <w:tblStylePr w:type="lastRow">
      <w:pPr>
        <w:spacing w:before="0" w:after="0" w:line="240" w:lineRule="auto"/>
      </w:pPr>
      <w:rPr>
        <w:b/>
        <w:bCs/>
      </w:rPr>
      <w:tblPr/>
      <w:tcPr>
        <w:tcBorders>
          <w:top w:val="double" w:sz="6" w:space="0" w:color="D8B25C"/>
          <w:left w:val="single" w:sz="8" w:space="0" w:color="D8B25C"/>
          <w:bottom w:val="single" w:sz="8" w:space="0" w:color="D8B25C"/>
          <w:right w:val="single" w:sz="8" w:space="0" w:color="D8B25C"/>
        </w:tcBorders>
      </w:tcPr>
    </w:tblStylePr>
    <w:tblStylePr w:type="firstCol">
      <w:rPr>
        <w:b/>
        <w:bCs/>
      </w:rPr>
    </w:tblStylePr>
    <w:tblStylePr w:type="lastCol">
      <w:rPr>
        <w:b/>
        <w:bCs/>
      </w:rPr>
    </w:tblStylePr>
    <w:tblStylePr w:type="band1Vert">
      <w:tblPr/>
      <w:tcPr>
        <w:tcBorders>
          <w:top w:val="single" w:sz="8" w:space="0" w:color="D8B25C"/>
          <w:left w:val="single" w:sz="8" w:space="0" w:color="D8B25C"/>
          <w:bottom w:val="single" w:sz="8" w:space="0" w:color="D8B25C"/>
          <w:right w:val="single" w:sz="8" w:space="0" w:color="D8B25C"/>
        </w:tcBorders>
      </w:tcPr>
    </w:tblStylePr>
    <w:tblStylePr w:type="band1Horz">
      <w:tblPr/>
      <w:tcPr>
        <w:tcBorders>
          <w:top w:val="single" w:sz="8" w:space="0" w:color="D8B25C"/>
          <w:left w:val="single" w:sz="8" w:space="0" w:color="D8B25C"/>
          <w:bottom w:val="single" w:sz="8" w:space="0" w:color="D8B25C"/>
          <w:right w:val="single" w:sz="8" w:space="0" w:color="D8B25C"/>
        </w:tcBorders>
      </w:tcPr>
    </w:tblStylePr>
  </w:style>
  <w:style w:type="table" w:customStyle="1" w:styleId="Listaclara-nfasis52">
    <w:name w:val="Lista clara - Énfasis 52"/>
    <w:basedOn w:val="TableNormal"/>
    <w:next w:val="LightList-Accent5"/>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pPr>
        <w:spacing w:before="0" w:after="0" w:line="240" w:lineRule="auto"/>
      </w:pPr>
      <w:rPr>
        <w:b/>
        <w:bCs/>
        <w:color w:val="FFFFFF"/>
      </w:rPr>
      <w:tblPr/>
      <w:tcPr>
        <w:shd w:val="clear" w:color="auto" w:fill="7BA79D"/>
      </w:tcPr>
    </w:tblStylePr>
    <w:tblStylePr w:type="lastRow">
      <w:pPr>
        <w:spacing w:before="0" w:after="0" w:line="240" w:lineRule="auto"/>
      </w:pPr>
      <w:rPr>
        <w:b/>
        <w:bCs/>
      </w:rPr>
      <w:tblPr/>
      <w:tcPr>
        <w:tcBorders>
          <w:top w:val="double" w:sz="6" w:space="0" w:color="7BA79D"/>
          <w:left w:val="single" w:sz="8" w:space="0" w:color="7BA79D"/>
          <w:bottom w:val="single" w:sz="8" w:space="0" w:color="7BA79D"/>
          <w:right w:val="single" w:sz="8" w:space="0" w:color="7BA79D"/>
        </w:tcBorders>
      </w:tcPr>
    </w:tblStylePr>
    <w:tblStylePr w:type="firstCol">
      <w:rPr>
        <w:b/>
        <w:bCs/>
      </w:rPr>
    </w:tblStylePr>
    <w:tblStylePr w:type="lastCol">
      <w:rPr>
        <w:b/>
        <w:bCs/>
      </w:rPr>
    </w:tblStylePr>
    <w:tblStylePr w:type="band1Vert">
      <w:tblPr/>
      <w:tcPr>
        <w:tcBorders>
          <w:top w:val="single" w:sz="8" w:space="0" w:color="7BA79D"/>
          <w:left w:val="single" w:sz="8" w:space="0" w:color="7BA79D"/>
          <w:bottom w:val="single" w:sz="8" w:space="0" w:color="7BA79D"/>
          <w:right w:val="single" w:sz="8" w:space="0" w:color="7BA79D"/>
        </w:tcBorders>
      </w:tcPr>
    </w:tblStylePr>
    <w:tblStylePr w:type="band1Horz">
      <w:tblPr/>
      <w:tcPr>
        <w:tcBorders>
          <w:top w:val="single" w:sz="8" w:space="0" w:color="7BA79D"/>
          <w:left w:val="single" w:sz="8" w:space="0" w:color="7BA79D"/>
          <w:bottom w:val="single" w:sz="8" w:space="0" w:color="7BA79D"/>
          <w:right w:val="single" w:sz="8" w:space="0" w:color="7BA79D"/>
        </w:tcBorders>
      </w:tcPr>
    </w:tblStylePr>
  </w:style>
  <w:style w:type="table" w:customStyle="1" w:styleId="Listaclara-nfasis62">
    <w:name w:val="Lista clara - Énfasis 62"/>
    <w:basedOn w:val="TableNormal"/>
    <w:next w:val="LightList-Accent6"/>
    <w:uiPriority w:val="61"/>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pPr>
        <w:spacing w:before="0" w:after="0" w:line="240" w:lineRule="auto"/>
      </w:pPr>
      <w:rPr>
        <w:b/>
        <w:bCs/>
        <w:color w:val="FFFFFF"/>
      </w:rPr>
      <w:tblPr/>
      <w:tcPr>
        <w:shd w:val="clear" w:color="auto" w:fill="968C8C"/>
      </w:tcPr>
    </w:tblStylePr>
    <w:tblStylePr w:type="lastRow">
      <w:pPr>
        <w:spacing w:before="0" w:after="0" w:line="240" w:lineRule="auto"/>
      </w:pPr>
      <w:rPr>
        <w:b/>
        <w:bCs/>
      </w:rPr>
      <w:tblPr/>
      <w:tcPr>
        <w:tcBorders>
          <w:top w:val="double" w:sz="6" w:space="0" w:color="968C8C"/>
          <w:left w:val="single" w:sz="8" w:space="0" w:color="968C8C"/>
          <w:bottom w:val="single" w:sz="8" w:space="0" w:color="968C8C"/>
          <w:right w:val="single" w:sz="8" w:space="0" w:color="968C8C"/>
        </w:tcBorders>
      </w:tcPr>
    </w:tblStylePr>
    <w:tblStylePr w:type="firstCol">
      <w:rPr>
        <w:b/>
        <w:bCs/>
      </w:rPr>
    </w:tblStylePr>
    <w:tblStylePr w:type="lastCol">
      <w:rPr>
        <w:b/>
        <w:bCs/>
      </w:rPr>
    </w:tblStylePr>
    <w:tblStylePr w:type="band1Vert">
      <w:tblPr/>
      <w:tcPr>
        <w:tcBorders>
          <w:top w:val="single" w:sz="8" w:space="0" w:color="968C8C"/>
          <w:left w:val="single" w:sz="8" w:space="0" w:color="968C8C"/>
          <w:bottom w:val="single" w:sz="8" w:space="0" w:color="968C8C"/>
          <w:right w:val="single" w:sz="8" w:space="0" w:color="968C8C"/>
        </w:tcBorders>
      </w:tcPr>
    </w:tblStylePr>
    <w:tblStylePr w:type="band1Horz">
      <w:tblPr/>
      <w:tcPr>
        <w:tcBorders>
          <w:top w:val="single" w:sz="8" w:space="0" w:color="968C8C"/>
          <w:left w:val="single" w:sz="8" w:space="0" w:color="968C8C"/>
          <w:bottom w:val="single" w:sz="8" w:space="0" w:color="968C8C"/>
          <w:right w:val="single" w:sz="8" w:space="0" w:color="968C8C"/>
        </w:tcBorders>
      </w:tcPr>
    </w:tblStylePr>
  </w:style>
  <w:style w:type="table" w:customStyle="1" w:styleId="Sombreadoclaro2">
    <w:name w:val="Sombreado claro2"/>
    <w:basedOn w:val="TableNormal"/>
    <w:next w:val="LightShading"/>
    <w:uiPriority w:val="60"/>
    <w:semiHidden/>
    <w:unhideWhenUsed/>
    <w:rsid w:val="00233AC6"/>
    <w:rPr>
      <w:rFonts w:ascii="Century Gothic" w:eastAsia="Meiryo" w:hAnsi="Century Gothic" w:cs="Arial"/>
      <w:color w:val="000000"/>
      <w:sz w:val="20"/>
      <w:szCs w:val="20"/>
      <w:lang w:val="en-US"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eNormal"/>
    <w:next w:val="LightShading-Accent1"/>
    <w:uiPriority w:val="60"/>
    <w:semiHidden/>
    <w:unhideWhenUsed/>
    <w:rsid w:val="00233AC6"/>
    <w:rPr>
      <w:rFonts w:ascii="Century Gothic" w:eastAsia="Meiryo" w:hAnsi="Century Gothic" w:cs="Arial"/>
      <w:color w:val="548AB7"/>
      <w:sz w:val="20"/>
      <w:szCs w:val="20"/>
      <w:lang w:val="en-US" w:eastAsia="zh-CN"/>
    </w:rPr>
    <w:tblPr>
      <w:tblStyleRowBandSize w:val="1"/>
      <w:tblStyleColBandSize w:val="1"/>
      <w:tblBorders>
        <w:top w:val="single" w:sz="8" w:space="0" w:color="94B6D2"/>
        <w:bottom w:val="single" w:sz="8" w:space="0" w:color="94B6D2"/>
      </w:tblBorders>
    </w:tblPr>
    <w:tblStylePr w:type="fir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la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cPr>
    </w:tblStylePr>
    <w:tblStylePr w:type="band1Horz">
      <w:tblPr/>
      <w:tcPr>
        <w:tcBorders>
          <w:left w:val="nil"/>
          <w:right w:val="nil"/>
          <w:insideH w:val="nil"/>
          <w:insideV w:val="nil"/>
        </w:tcBorders>
        <w:shd w:val="clear" w:color="auto" w:fill="E4ECF4"/>
      </w:tcPr>
    </w:tblStylePr>
  </w:style>
  <w:style w:type="table" w:customStyle="1" w:styleId="Sombreadoclaro-nfasis22">
    <w:name w:val="Sombreado claro - Énfasis 22"/>
    <w:basedOn w:val="TableNormal"/>
    <w:next w:val="LightShading-Accent2"/>
    <w:uiPriority w:val="60"/>
    <w:semiHidden/>
    <w:unhideWhenUsed/>
    <w:rsid w:val="00233AC6"/>
    <w:rPr>
      <w:rFonts w:ascii="Century Gothic" w:eastAsia="Meiryo" w:hAnsi="Century Gothic" w:cs="Arial"/>
      <w:color w:val="B85A22"/>
      <w:sz w:val="20"/>
      <w:szCs w:val="20"/>
      <w:lang w:val="en-US" w:eastAsia="zh-CN"/>
    </w:rPr>
    <w:tblPr>
      <w:tblStyleRowBandSize w:val="1"/>
      <w:tblStyleColBandSize w:val="1"/>
      <w:tblBorders>
        <w:top w:val="single" w:sz="8" w:space="0" w:color="DD8047"/>
        <w:bottom w:val="single" w:sz="8" w:space="0" w:color="DD8047"/>
      </w:tblBorders>
    </w:tblPr>
    <w:tblStylePr w:type="fir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la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cPr>
    </w:tblStylePr>
    <w:tblStylePr w:type="band1Horz">
      <w:tblPr/>
      <w:tcPr>
        <w:tcBorders>
          <w:left w:val="nil"/>
          <w:right w:val="nil"/>
          <w:insideH w:val="nil"/>
          <w:insideV w:val="nil"/>
        </w:tcBorders>
        <w:shd w:val="clear" w:color="auto" w:fill="F6DFD1"/>
      </w:tcPr>
    </w:tblStylePr>
  </w:style>
  <w:style w:type="table" w:customStyle="1" w:styleId="Sombreadoclaro-nfasis32">
    <w:name w:val="Sombreado claro - Énfasis 32"/>
    <w:basedOn w:val="TableNormal"/>
    <w:next w:val="LightShading-Accent3"/>
    <w:uiPriority w:val="60"/>
    <w:semiHidden/>
    <w:unhideWhenUsed/>
    <w:rsid w:val="00233AC6"/>
    <w:rPr>
      <w:rFonts w:ascii="Century Gothic" w:eastAsia="Meiryo" w:hAnsi="Century Gothic" w:cs="Arial"/>
      <w:color w:val="80865A"/>
      <w:sz w:val="20"/>
      <w:szCs w:val="20"/>
      <w:lang w:val="en-US" w:eastAsia="zh-CN"/>
    </w:rPr>
    <w:tblPr>
      <w:tblStyleRowBandSize w:val="1"/>
      <w:tblStyleColBandSize w:val="1"/>
      <w:tblBorders>
        <w:top w:val="single" w:sz="8" w:space="0" w:color="A5AB81"/>
        <w:bottom w:val="single" w:sz="8" w:space="0" w:color="A5AB81"/>
      </w:tblBorders>
    </w:tblPr>
    <w:tblStylePr w:type="fir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la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cPr>
    </w:tblStylePr>
    <w:tblStylePr w:type="band1Horz">
      <w:tblPr/>
      <w:tcPr>
        <w:tcBorders>
          <w:left w:val="nil"/>
          <w:right w:val="nil"/>
          <w:insideH w:val="nil"/>
          <w:insideV w:val="nil"/>
        </w:tcBorders>
        <w:shd w:val="clear" w:color="auto" w:fill="E8EADF"/>
      </w:tcPr>
    </w:tblStylePr>
  </w:style>
  <w:style w:type="table" w:customStyle="1" w:styleId="Sombreadoclaro-nfasis42">
    <w:name w:val="Sombreado claro - Énfasis 42"/>
    <w:basedOn w:val="TableNormal"/>
    <w:next w:val="LightShading-Accent4"/>
    <w:uiPriority w:val="60"/>
    <w:semiHidden/>
    <w:unhideWhenUsed/>
    <w:rsid w:val="00233AC6"/>
    <w:rPr>
      <w:rFonts w:ascii="Century Gothic" w:eastAsia="Meiryo" w:hAnsi="Century Gothic" w:cs="Arial"/>
      <w:color w:val="BA8E2C"/>
      <w:sz w:val="20"/>
      <w:szCs w:val="20"/>
      <w:lang w:val="en-US" w:eastAsia="zh-CN"/>
    </w:rPr>
    <w:tblPr>
      <w:tblStyleRowBandSize w:val="1"/>
      <w:tblStyleColBandSize w:val="1"/>
      <w:tblBorders>
        <w:top w:val="single" w:sz="8" w:space="0" w:color="D8B25C"/>
        <w:bottom w:val="single" w:sz="8" w:space="0" w:color="D8B25C"/>
      </w:tblBorders>
    </w:tblPr>
    <w:tblStylePr w:type="fir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la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cPr>
    </w:tblStylePr>
    <w:tblStylePr w:type="band1Horz">
      <w:tblPr/>
      <w:tcPr>
        <w:tcBorders>
          <w:left w:val="nil"/>
          <w:right w:val="nil"/>
          <w:insideH w:val="nil"/>
          <w:insideV w:val="nil"/>
        </w:tcBorders>
        <w:shd w:val="clear" w:color="auto" w:fill="F5EBD6"/>
      </w:tcPr>
    </w:tblStylePr>
  </w:style>
  <w:style w:type="table" w:customStyle="1" w:styleId="Sombreadoclaro-nfasis52">
    <w:name w:val="Sombreado claro - Énfasis 52"/>
    <w:basedOn w:val="TableNormal"/>
    <w:next w:val="LightShading-Accent5"/>
    <w:uiPriority w:val="60"/>
    <w:semiHidden/>
    <w:unhideWhenUsed/>
    <w:rsid w:val="00233AC6"/>
    <w:rPr>
      <w:rFonts w:ascii="Century Gothic" w:eastAsia="Meiryo" w:hAnsi="Century Gothic" w:cs="Arial"/>
      <w:color w:val="568278"/>
      <w:sz w:val="20"/>
      <w:szCs w:val="20"/>
      <w:lang w:val="en-US" w:eastAsia="zh-CN"/>
    </w:rPr>
    <w:tblPr>
      <w:tblStyleRowBandSize w:val="1"/>
      <w:tblStyleColBandSize w:val="1"/>
      <w:tblBorders>
        <w:top w:val="single" w:sz="8" w:space="0" w:color="7BA79D"/>
        <w:bottom w:val="single" w:sz="8" w:space="0" w:color="7BA79D"/>
      </w:tblBorders>
    </w:tblPr>
    <w:tblStylePr w:type="fir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la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cPr>
    </w:tblStylePr>
    <w:tblStylePr w:type="band1Horz">
      <w:tblPr/>
      <w:tcPr>
        <w:tcBorders>
          <w:left w:val="nil"/>
          <w:right w:val="nil"/>
          <w:insideH w:val="nil"/>
          <w:insideV w:val="nil"/>
        </w:tcBorders>
        <w:shd w:val="clear" w:color="auto" w:fill="DEE9E6"/>
      </w:tcPr>
    </w:tblStylePr>
  </w:style>
  <w:style w:type="table" w:customStyle="1" w:styleId="Sombreadoclaro-nfasis62">
    <w:name w:val="Sombreado claro - Énfasis 62"/>
    <w:basedOn w:val="TableNormal"/>
    <w:next w:val="LightShading-Accent6"/>
    <w:uiPriority w:val="60"/>
    <w:semiHidden/>
    <w:unhideWhenUsed/>
    <w:rsid w:val="00233AC6"/>
    <w:rPr>
      <w:rFonts w:ascii="Century Gothic" w:eastAsia="Meiryo" w:hAnsi="Century Gothic" w:cs="Arial"/>
      <w:color w:val="716767"/>
      <w:sz w:val="20"/>
      <w:szCs w:val="20"/>
      <w:lang w:val="en-US" w:eastAsia="zh-CN"/>
    </w:rPr>
    <w:tblPr>
      <w:tblStyleRowBandSize w:val="1"/>
      <w:tblStyleColBandSize w:val="1"/>
      <w:tblBorders>
        <w:top w:val="single" w:sz="8" w:space="0" w:color="968C8C"/>
        <w:bottom w:val="single" w:sz="8" w:space="0" w:color="968C8C"/>
      </w:tblBorders>
    </w:tblPr>
    <w:tblStylePr w:type="fir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la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cPr>
    </w:tblStylePr>
    <w:tblStylePr w:type="band1Horz">
      <w:tblPr/>
      <w:tcPr>
        <w:tcBorders>
          <w:left w:val="nil"/>
          <w:right w:val="nil"/>
          <w:insideH w:val="nil"/>
          <w:insideV w:val="nil"/>
        </w:tcBorders>
        <w:shd w:val="clear" w:color="auto" w:fill="E5E2E2"/>
      </w:tcPr>
    </w:tblStylePr>
  </w:style>
  <w:style w:type="table" w:customStyle="1" w:styleId="Cuadrculaclara2">
    <w:name w:val="Cuadrícula clara2"/>
    <w:basedOn w:val="TableNormal"/>
    <w:next w:val="LightGrid"/>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tka Text Semibold" w:eastAsia="NSimSun" w:hAnsi="Sitka Tex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uadrculaclara-nfasis12">
    <w:name w:val="Cuadrícula clara - Énfasis 12"/>
    <w:basedOn w:val="TableNormal"/>
    <w:next w:val="LightGrid-Accent1"/>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blStylePr w:type="firstRow">
      <w:pPr>
        <w:spacing w:before="0" w:after="0" w:line="240" w:lineRule="auto"/>
      </w:pPr>
      <w:rPr>
        <w:rFonts w:ascii="Sitka Text Semibold" w:eastAsia="NSimSun" w:hAnsi="Sitka Text Semibold" w:cs="Times New Roman"/>
        <w:b/>
        <w:bCs/>
      </w:rPr>
      <w:tblPr/>
      <w:tcPr>
        <w:tcBorders>
          <w:top w:val="single" w:sz="8" w:space="0" w:color="94B6D2"/>
          <w:left w:val="single" w:sz="8" w:space="0" w:color="94B6D2"/>
          <w:bottom w:val="single" w:sz="18" w:space="0" w:color="94B6D2"/>
          <w:right w:val="single" w:sz="8" w:space="0" w:color="94B6D2"/>
          <w:insideH w:val="nil"/>
          <w:insideV w:val="single" w:sz="8" w:space="0" w:color="94B6D2"/>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94B6D2"/>
          <w:left w:val="single" w:sz="8" w:space="0" w:color="94B6D2"/>
          <w:bottom w:val="single" w:sz="8" w:space="0" w:color="94B6D2"/>
          <w:right w:val="single" w:sz="8" w:space="0" w:color="94B6D2"/>
          <w:insideH w:val="nil"/>
          <w:insideV w:val="single" w:sz="8" w:space="0" w:color="94B6D2"/>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94B6D2"/>
          <w:left w:val="single" w:sz="8" w:space="0" w:color="94B6D2"/>
          <w:bottom w:val="single" w:sz="8" w:space="0" w:color="94B6D2"/>
          <w:right w:val="single" w:sz="8" w:space="0" w:color="94B6D2"/>
        </w:tcBorders>
      </w:tcPr>
    </w:tblStylePr>
    <w:tblStylePr w:type="band1Vert">
      <w:tblPr/>
      <w:tcPr>
        <w:tcBorders>
          <w:top w:val="single" w:sz="8" w:space="0" w:color="94B6D2"/>
          <w:left w:val="single" w:sz="8" w:space="0" w:color="94B6D2"/>
          <w:bottom w:val="single" w:sz="8" w:space="0" w:color="94B6D2"/>
          <w:right w:val="single" w:sz="8" w:space="0" w:color="94B6D2"/>
        </w:tcBorders>
        <w:shd w:val="clear" w:color="auto" w:fill="E4ECF4"/>
      </w:tcPr>
    </w:tblStylePr>
    <w:tblStylePr w:type="band1Horz">
      <w:tblPr/>
      <w:tcPr>
        <w:tcBorders>
          <w:top w:val="single" w:sz="8" w:space="0" w:color="94B6D2"/>
          <w:left w:val="single" w:sz="8" w:space="0" w:color="94B6D2"/>
          <w:bottom w:val="single" w:sz="8" w:space="0" w:color="94B6D2"/>
          <w:right w:val="single" w:sz="8" w:space="0" w:color="94B6D2"/>
          <w:insideV w:val="single" w:sz="8" w:space="0" w:color="94B6D2"/>
        </w:tcBorders>
        <w:shd w:val="clear" w:color="auto" w:fill="E4ECF4"/>
      </w:tcPr>
    </w:tblStylePr>
    <w:tblStylePr w:type="band2Horz">
      <w:tblPr/>
      <w:tcPr>
        <w:tcBorders>
          <w:top w:val="single" w:sz="8" w:space="0" w:color="94B6D2"/>
          <w:left w:val="single" w:sz="8" w:space="0" w:color="94B6D2"/>
          <w:bottom w:val="single" w:sz="8" w:space="0" w:color="94B6D2"/>
          <w:right w:val="single" w:sz="8" w:space="0" w:color="94B6D2"/>
          <w:insideV w:val="single" w:sz="8" w:space="0" w:color="94B6D2"/>
        </w:tcBorders>
      </w:tcPr>
    </w:tblStylePr>
  </w:style>
  <w:style w:type="table" w:customStyle="1" w:styleId="Cuadrculaclara-nfasis22">
    <w:name w:val="Cuadrícula clara - Énfasis 22"/>
    <w:basedOn w:val="TableNormal"/>
    <w:next w:val="LightGrid-Accent2"/>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blStylePr w:type="firstRow">
      <w:pPr>
        <w:spacing w:before="0" w:after="0" w:line="240" w:lineRule="auto"/>
      </w:pPr>
      <w:rPr>
        <w:rFonts w:ascii="Sitka Text Semibold" w:eastAsia="NSimSun" w:hAnsi="Sitka Text Semibold" w:cs="Times New Roman"/>
        <w:b/>
        <w:bCs/>
      </w:rPr>
      <w:tblPr/>
      <w:tcPr>
        <w:tcBorders>
          <w:top w:val="single" w:sz="8" w:space="0" w:color="DD8047"/>
          <w:left w:val="single" w:sz="8" w:space="0" w:color="DD8047"/>
          <w:bottom w:val="single" w:sz="18" w:space="0" w:color="DD8047"/>
          <w:right w:val="single" w:sz="8" w:space="0" w:color="DD8047"/>
          <w:insideH w:val="nil"/>
          <w:insideV w:val="single" w:sz="8" w:space="0" w:color="DD8047"/>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DD8047"/>
          <w:left w:val="single" w:sz="8" w:space="0" w:color="DD8047"/>
          <w:bottom w:val="single" w:sz="8" w:space="0" w:color="DD8047"/>
          <w:right w:val="single" w:sz="8" w:space="0" w:color="DD8047"/>
          <w:insideH w:val="nil"/>
          <w:insideV w:val="single" w:sz="8" w:space="0" w:color="DD8047"/>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DD8047"/>
          <w:left w:val="single" w:sz="8" w:space="0" w:color="DD8047"/>
          <w:bottom w:val="single" w:sz="8" w:space="0" w:color="DD8047"/>
          <w:right w:val="single" w:sz="8" w:space="0" w:color="DD8047"/>
        </w:tcBorders>
      </w:tcPr>
    </w:tblStylePr>
    <w:tblStylePr w:type="band1Vert">
      <w:tblPr/>
      <w:tcPr>
        <w:tcBorders>
          <w:top w:val="single" w:sz="8" w:space="0" w:color="DD8047"/>
          <w:left w:val="single" w:sz="8" w:space="0" w:color="DD8047"/>
          <w:bottom w:val="single" w:sz="8" w:space="0" w:color="DD8047"/>
          <w:right w:val="single" w:sz="8" w:space="0" w:color="DD8047"/>
        </w:tcBorders>
        <w:shd w:val="clear" w:color="auto" w:fill="F6DFD1"/>
      </w:tcPr>
    </w:tblStylePr>
    <w:tblStylePr w:type="band1Horz">
      <w:tblPr/>
      <w:tcPr>
        <w:tcBorders>
          <w:top w:val="single" w:sz="8" w:space="0" w:color="DD8047"/>
          <w:left w:val="single" w:sz="8" w:space="0" w:color="DD8047"/>
          <w:bottom w:val="single" w:sz="8" w:space="0" w:color="DD8047"/>
          <w:right w:val="single" w:sz="8" w:space="0" w:color="DD8047"/>
          <w:insideV w:val="single" w:sz="8" w:space="0" w:color="DD8047"/>
        </w:tcBorders>
        <w:shd w:val="clear" w:color="auto" w:fill="F6DFD1"/>
      </w:tcPr>
    </w:tblStylePr>
    <w:tblStylePr w:type="band2Horz">
      <w:tblPr/>
      <w:tcPr>
        <w:tcBorders>
          <w:top w:val="single" w:sz="8" w:space="0" w:color="DD8047"/>
          <w:left w:val="single" w:sz="8" w:space="0" w:color="DD8047"/>
          <w:bottom w:val="single" w:sz="8" w:space="0" w:color="DD8047"/>
          <w:right w:val="single" w:sz="8" w:space="0" w:color="DD8047"/>
          <w:insideV w:val="single" w:sz="8" w:space="0" w:color="DD8047"/>
        </w:tcBorders>
      </w:tcPr>
    </w:tblStylePr>
  </w:style>
  <w:style w:type="table" w:customStyle="1" w:styleId="Cuadrculaclara-nfasis32">
    <w:name w:val="Cuadrícula clara - Énfasis 32"/>
    <w:basedOn w:val="TableNormal"/>
    <w:next w:val="LightGrid-Accent3"/>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blStylePr w:type="firstRow">
      <w:pPr>
        <w:spacing w:before="0" w:after="0" w:line="240" w:lineRule="auto"/>
      </w:pPr>
      <w:rPr>
        <w:rFonts w:ascii="Sitka Text Semibold" w:eastAsia="NSimSun" w:hAnsi="Sitka Text Semibold" w:cs="Times New Roman"/>
        <w:b/>
        <w:bCs/>
      </w:rPr>
      <w:tblPr/>
      <w:tcPr>
        <w:tcBorders>
          <w:top w:val="single" w:sz="8" w:space="0" w:color="A5AB81"/>
          <w:left w:val="single" w:sz="8" w:space="0" w:color="A5AB81"/>
          <w:bottom w:val="single" w:sz="18" w:space="0" w:color="A5AB81"/>
          <w:right w:val="single" w:sz="8" w:space="0" w:color="A5AB81"/>
          <w:insideH w:val="nil"/>
          <w:insideV w:val="single" w:sz="8" w:space="0" w:color="A5AB81"/>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A5AB81"/>
          <w:left w:val="single" w:sz="8" w:space="0" w:color="A5AB81"/>
          <w:bottom w:val="single" w:sz="8" w:space="0" w:color="A5AB81"/>
          <w:right w:val="single" w:sz="8" w:space="0" w:color="A5AB81"/>
          <w:insideH w:val="nil"/>
          <w:insideV w:val="single" w:sz="8" w:space="0" w:color="A5AB81"/>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A5AB81"/>
          <w:left w:val="single" w:sz="8" w:space="0" w:color="A5AB81"/>
          <w:bottom w:val="single" w:sz="8" w:space="0" w:color="A5AB81"/>
          <w:right w:val="single" w:sz="8" w:space="0" w:color="A5AB81"/>
        </w:tcBorders>
      </w:tcPr>
    </w:tblStylePr>
    <w:tblStylePr w:type="band1Vert">
      <w:tblPr/>
      <w:tcPr>
        <w:tcBorders>
          <w:top w:val="single" w:sz="8" w:space="0" w:color="A5AB81"/>
          <w:left w:val="single" w:sz="8" w:space="0" w:color="A5AB81"/>
          <w:bottom w:val="single" w:sz="8" w:space="0" w:color="A5AB81"/>
          <w:right w:val="single" w:sz="8" w:space="0" w:color="A5AB81"/>
        </w:tcBorders>
        <w:shd w:val="clear" w:color="auto" w:fill="E8EADF"/>
      </w:tcPr>
    </w:tblStylePr>
    <w:tblStylePr w:type="band1Horz">
      <w:tblPr/>
      <w:tcPr>
        <w:tcBorders>
          <w:top w:val="single" w:sz="8" w:space="0" w:color="A5AB81"/>
          <w:left w:val="single" w:sz="8" w:space="0" w:color="A5AB81"/>
          <w:bottom w:val="single" w:sz="8" w:space="0" w:color="A5AB81"/>
          <w:right w:val="single" w:sz="8" w:space="0" w:color="A5AB81"/>
          <w:insideV w:val="single" w:sz="8" w:space="0" w:color="A5AB81"/>
        </w:tcBorders>
        <w:shd w:val="clear" w:color="auto" w:fill="E8EADF"/>
      </w:tcPr>
    </w:tblStylePr>
    <w:tblStylePr w:type="band2Horz">
      <w:tblPr/>
      <w:tcPr>
        <w:tcBorders>
          <w:top w:val="single" w:sz="8" w:space="0" w:color="A5AB81"/>
          <w:left w:val="single" w:sz="8" w:space="0" w:color="A5AB81"/>
          <w:bottom w:val="single" w:sz="8" w:space="0" w:color="A5AB81"/>
          <w:right w:val="single" w:sz="8" w:space="0" w:color="A5AB81"/>
          <w:insideV w:val="single" w:sz="8" w:space="0" w:color="A5AB81"/>
        </w:tcBorders>
      </w:tcPr>
    </w:tblStylePr>
  </w:style>
  <w:style w:type="table" w:customStyle="1" w:styleId="Cuadrculaclara-nfasis42">
    <w:name w:val="Cuadrícula clara - Énfasis 42"/>
    <w:basedOn w:val="TableNormal"/>
    <w:next w:val="LightGrid-Accent4"/>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blStylePr w:type="firstRow">
      <w:pPr>
        <w:spacing w:before="0" w:after="0" w:line="240" w:lineRule="auto"/>
      </w:pPr>
      <w:rPr>
        <w:rFonts w:ascii="Sitka Text Semibold" w:eastAsia="NSimSun" w:hAnsi="Sitka Text Semibold" w:cs="Times New Roman"/>
        <w:b/>
        <w:bCs/>
      </w:rPr>
      <w:tblPr/>
      <w:tcPr>
        <w:tcBorders>
          <w:top w:val="single" w:sz="8" w:space="0" w:color="D8B25C"/>
          <w:left w:val="single" w:sz="8" w:space="0" w:color="D8B25C"/>
          <w:bottom w:val="single" w:sz="18" w:space="0" w:color="D8B25C"/>
          <w:right w:val="single" w:sz="8" w:space="0" w:color="D8B25C"/>
          <w:insideH w:val="nil"/>
          <w:insideV w:val="single" w:sz="8" w:space="0" w:color="D8B25C"/>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D8B25C"/>
          <w:left w:val="single" w:sz="8" w:space="0" w:color="D8B25C"/>
          <w:bottom w:val="single" w:sz="8" w:space="0" w:color="D8B25C"/>
          <w:right w:val="single" w:sz="8" w:space="0" w:color="D8B25C"/>
          <w:insideH w:val="nil"/>
          <w:insideV w:val="single" w:sz="8" w:space="0" w:color="D8B25C"/>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D8B25C"/>
          <w:left w:val="single" w:sz="8" w:space="0" w:color="D8B25C"/>
          <w:bottom w:val="single" w:sz="8" w:space="0" w:color="D8B25C"/>
          <w:right w:val="single" w:sz="8" w:space="0" w:color="D8B25C"/>
        </w:tcBorders>
      </w:tcPr>
    </w:tblStylePr>
    <w:tblStylePr w:type="band1Vert">
      <w:tblPr/>
      <w:tcPr>
        <w:tcBorders>
          <w:top w:val="single" w:sz="8" w:space="0" w:color="D8B25C"/>
          <w:left w:val="single" w:sz="8" w:space="0" w:color="D8B25C"/>
          <w:bottom w:val="single" w:sz="8" w:space="0" w:color="D8B25C"/>
          <w:right w:val="single" w:sz="8" w:space="0" w:color="D8B25C"/>
        </w:tcBorders>
        <w:shd w:val="clear" w:color="auto" w:fill="F5EBD6"/>
      </w:tcPr>
    </w:tblStylePr>
    <w:tblStylePr w:type="band1Horz">
      <w:tblPr/>
      <w:tcPr>
        <w:tcBorders>
          <w:top w:val="single" w:sz="8" w:space="0" w:color="D8B25C"/>
          <w:left w:val="single" w:sz="8" w:space="0" w:color="D8B25C"/>
          <w:bottom w:val="single" w:sz="8" w:space="0" w:color="D8B25C"/>
          <w:right w:val="single" w:sz="8" w:space="0" w:color="D8B25C"/>
          <w:insideV w:val="single" w:sz="8" w:space="0" w:color="D8B25C"/>
        </w:tcBorders>
        <w:shd w:val="clear" w:color="auto" w:fill="F5EBD6"/>
      </w:tcPr>
    </w:tblStylePr>
    <w:tblStylePr w:type="band2Horz">
      <w:tblPr/>
      <w:tcPr>
        <w:tcBorders>
          <w:top w:val="single" w:sz="8" w:space="0" w:color="D8B25C"/>
          <w:left w:val="single" w:sz="8" w:space="0" w:color="D8B25C"/>
          <w:bottom w:val="single" w:sz="8" w:space="0" w:color="D8B25C"/>
          <w:right w:val="single" w:sz="8" w:space="0" w:color="D8B25C"/>
          <w:insideV w:val="single" w:sz="8" w:space="0" w:color="D8B25C"/>
        </w:tcBorders>
      </w:tcPr>
    </w:tblStylePr>
  </w:style>
  <w:style w:type="table" w:customStyle="1" w:styleId="Cuadrculaclara-nfasis52">
    <w:name w:val="Cuadrícula clara - Énfasis 52"/>
    <w:basedOn w:val="TableNormal"/>
    <w:next w:val="LightGrid-Accent5"/>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blStylePr w:type="firstRow">
      <w:pPr>
        <w:spacing w:before="0" w:after="0" w:line="240" w:lineRule="auto"/>
      </w:pPr>
      <w:rPr>
        <w:rFonts w:ascii="Sitka Text Semibold" w:eastAsia="NSimSun" w:hAnsi="Sitka Text Semibold" w:cs="Times New Roman"/>
        <w:b/>
        <w:bCs/>
      </w:rPr>
      <w:tblPr/>
      <w:tcPr>
        <w:tcBorders>
          <w:top w:val="single" w:sz="8" w:space="0" w:color="7BA79D"/>
          <w:left w:val="single" w:sz="8" w:space="0" w:color="7BA79D"/>
          <w:bottom w:val="single" w:sz="18" w:space="0" w:color="7BA79D"/>
          <w:right w:val="single" w:sz="8" w:space="0" w:color="7BA79D"/>
          <w:insideH w:val="nil"/>
          <w:insideV w:val="single" w:sz="8" w:space="0" w:color="7BA79D"/>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7BA79D"/>
          <w:left w:val="single" w:sz="8" w:space="0" w:color="7BA79D"/>
          <w:bottom w:val="single" w:sz="8" w:space="0" w:color="7BA79D"/>
          <w:right w:val="single" w:sz="8" w:space="0" w:color="7BA79D"/>
          <w:insideH w:val="nil"/>
          <w:insideV w:val="single" w:sz="8" w:space="0" w:color="7BA79D"/>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7BA79D"/>
          <w:left w:val="single" w:sz="8" w:space="0" w:color="7BA79D"/>
          <w:bottom w:val="single" w:sz="8" w:space="0" w:color="7BA79D"/>
          <w:right w:val="single" w:sz="8" w:space="0" w:color="7BA79D"/>
        </w:tcBorders>
      </w:tcPr>
    </w:tblStylePr>
    <w:tblStylePr w:type="band1Vert">
      <w:tblPr/>
      <w:tcPr>
        <w:tcBorders>
          <w:top w:val="single" w:sz="8" w:space="0" w:color="7BA79D"/>
          <w:left w:val="single" w:sz="8" w:space="0" w:color="7BA79D"/>
          <w:bottom w:val="single" w:sz="8" w:space="0" w:color="7BA79D"/>
          <w:right w:val="single" w:sz="8" w:space="0" w:color="7BA79D"/>
        </w:tcBorders>
        <w:shd w:val="clear" w:color="auto" w:fill="DEE9E6"/>
      </w:tcPr>
    </w:tblStylePr>
    <w:tblStylePr w:type="band1Horz">
      <w:tblPr/>
      <w:tcPr>
        <w:tcBorders>
          <w:top w:val="single" w:sz="8" w:space="0" w:color="7BA79D"/>
          <w:left w:val="single" w:sz="8" w:space="0" w:color="7BA79D"/>
          <w:bottom w:val="single" w:sz="8" w:space="0" w:color="7BA79D"/>
          <w:right w:val="single" w:sz="8" w:space="0" w:color="7BA79D"/>
          <w:insideV w:val="single" w:sz="8" w:space="0" w:color="7BA79D"/>
        </w:tcBorders>
        <w:shd w:val="clear" w:color="auto" w:fill="DEE9E6"/>
      </w:tcPr>
    </w:tblStylePr>
    <w:tblStylePr w:type="band2Horz">
      <w:tblPr/>
      <w:tcPr>
        <w:tcBorders>
          <w:top w:val="single" w:sz="8" w:space="0" w:color="7BA79D"/>
          <w:left w:val="single" w:sz="8" w:space="0" w:color="7BA79D"/>
          <w:bottom w:val="single" w:sz="8" w:space="0" w:color="7BA79D"/>
          <w:right w:val="single" w:sz="8" w:space="0" w:color="7BA79D"/>
          <w:insideV w:val="single" w:sz="8" w:space="0" w:color="7BA79D"/>
        </w:tcBorders>
      </w:tcPr>
    </w:tblStylePr>
  </w:style>
  <w:style w:type="table" w:customStyle="1" w:styleId="Cuadrculaclara-nfasis62">
    <w:name w:val="Cuadrícula clara - Énfasis 62"/>
    <w:basedOn w:val="TableNormal"/>
    <w:next w:val="LightGrid-Accent6"/>
    <w:uiPriority w:val="62"/>
    <w:semiHidden/>
    <w:unhideWhenUsed/>
    <w:rsid w:val="00233AC6"/>
    <w:rPr>
      <w:rFonts w:ascii="Century Gothic" w:eastAsia="Meiryo" w:hAnsi="Century Gothic" w:cs="Arial"/>
      <w:sz w:val="20"/>
      <w:szCs w:val="20"/>
      <w:lang w:val="en-US" w:eastAsia="zh-CN"/>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blStylePr w:type="firstRow">
      <w:pPr>
        <w:spacing w:before="0" w:after="0" w:line="240" w:lineRule="auto"/>
      </w:pPr>
      <w:rPr>
        <w:rFonts w:ascii="Sitka Text Semibold" w:eastAsia="NSimSun" w:hAnsi="Sitka Text Semibold" w:cs="Times New Roman"/>
        <w:b/>
        <w:bCs/>
      </w:rPr>
      <w:tblPr/>
      <w:tcPr>
        <w:tcBorders>
          <w:top w:val="single" w:sz="8" w:space="0" w:color="968C8C"/>
          <w:left w:val="single" w:sz="8" w:space="0" w:color="968C8C"/>
          <w:bottom w:val="single" w:sz="18" w:space="0" w:color="968C8C"/>
          <w:right w:val="single" w:sz="8" w:space="0" w:color="968C8C"/>
          <w:insideH w:val="nil"/>
          <w:insideV w:val="single" w:sz="8" w:space="0" w:color="968C8C"/>
        </w:tcBorders>
      </w:tcPr>
    </w:tblStylePr>
    <w:tblStylePr w:type="lastRow">
      <w:pPr>
        <w:spacing w:before="0" w:after="0" w:line="240" w:lineRule="auto"/>
      </w:pPr>
      <w:rPr>
        <w:rFonts w:ascii="Sitka Text Semibold" w:eastAsia="NSimSun" w:hAnsi="Sitka Text Semibold" w:cs="Times New Roman"/>
        <w:b/>
        <w:bCs/>
      </w:rPr>
      <w:tblPr/>
      <w:tcPr>
        <w:tcBorders>
          <w:top w:val="double" w:sz="6" w:space="0" w:color="968C8C"/>
          <w:left w:val="single" w:sz="8" w:space="0" w:color="968C8C"/>
          <w:bottom w:val="single" w:sz="8" w:space="0" w:color="968C8C"/>
          <w:right w:val="single" w:sz="8" w:space="0" w:color="968C8C"/>
          <w:insideH w:val="nil"/>
          <w:insideV w:val="single" w:sz="8" w:space="0" w:color="968C8C"/>
        </w:tcBorders>
      </w:tcPr>
    </w:tblStylePr>
    <w:tblStylePr w:type="firstCol">
      <w:rPr>
        <w:rFonts w:ascii="Sitka Text Semibold" w:eastAsia="NSimSun" w:hAnsi="Sitka Text Semibold" w:cs="Times New Roman"/>
        <w:b/>
        <w:bCs/>
      </w:rPr>
    </w:tblStylePr>
    <w:tblStylePr w:type="lastCol">
      <w:rPr>
        <w:rFonts w:ascii="Sitka Text Semibold" w:eastAsia="NSimSun" w:hAnsi="Sitka Text Semibold" w:cs="Times New Roman"/>
        <w:b/>
        <w:bCs/>
      </w:rPr>
      <w:tblPr/>
      <w:tcPr>
        <w:tcBorders>
          <w:top w:val="single" w:sz="8" w:space="0" w:color="968C8C"/>
          <w:left w:val="single" w:sz="8" w:space="0" w:color="968C8C"/>
          <w:bottom w:val="single" w:sz="8" w:space="0" w:color="968C8C"/>
          <w:right w:val="single" w:sz="8" w:space="0" w:color="968C8C"/>
        </w:tcBorders>
      </w:tcPr>
    </w:tblStylePr>
    <w:tblStylePr w:type="band1Vert">
      <w:tblPr/>
      <w:tcPr>
        <w:tcBorders>
          <w:top w:val="single" w:sz="8" w:space="0" w:color="968C8C"/>
          <w:left w:val="single" w:sz="8" w:space="0" w:color="968C8C"/>
          <w:bottom w:val="single" w:sz="8" w:space="0" w:color="968C8C"/>
          <w:right w:val="single" w:sz="8" w:space="0" w:color="968C8C"/>
        </w:tcBorders>
        <w:shd w:val="clear" w:color="auto" w:fill="E5E2E2"/>
      </w:tcPr>
    </w:tblStylePr>
    <w:tblStylePr w:type="band1Horz">
      <w:tblPr/>
      <w:tcPr>
        <w:tcBorders>
          <w:top w:val="single" w:sz="8" w:space="0" w:color="968C8C"/>
          <w:left w:val="single" w:sz="8" w:space="0" w:color="968C8C"/>
          <w:bottom w:val="single" w:sz="8" w:space="0" w:color="968C8C"/>
          <w:right w:val="single" w:sz="8" w:space="0" w:color="968C8C"/>
          <w:insideV w:val="single" w:sz="8" w:space="0" w:color="968C8C"/>
        </w:tcBorders>
        <w:shd w:val="clear" w:color="auto" w:fill="E5E2E2"/>
      </w:tcPr>
    </w:tblStylePr>
    <w:tblStylePr w:type="band2Horz">
      <w:tblPr/>
      <w:tcPr>
        <w:tcBorders>
          <w:top w:val="single" w:sz="8" w:space="0" w:color="968C8C"/>
          <w:left w:val="single" w:sz="8" w:space="0" w:color="968C8C"/>
          <w:bottom w:val="single" w:sz="8" w:space="0" w:color="968C8C"/>
          <w:right w:val="single" w:sz="8" w:space="0" w:color="968C8C"/>
          <w:insideV w:val="single" w:sz="8" w:space="0" w:color="968C8C"/>
        </w:tcBorders>
      </w:tcPr>
    </w:tblStylePr>
  </w:style>
  <w:style w:type="table" w:customStyle="1" w:styleId="Listaoscura2">
    <w:name w:val="Lista oscura2"/>
    <w:basedOn w:val="TableNormal"/>
    <w:next w:val="DarkList"/>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aoscura-nfasis12">
    <w:name w:val="Lista oscura - Énfasis 12"/>
    <w:basedOn w:val="TableNormal"/>
    <w:next w:val="DarkList-Accent1"/>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94B6D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45C7D"/>
      </w:tcPr>
    </w:tblStylePr>
    <w:tblStylePr w:type="firstCol">
      <w:tblPr/>
      <w:tcPr>
        <w:tcBorders>
          <w:top w:val="nil"/>
          <w:left w:val="nil"/>
          <w:bottom w:val="nil"/>
          <w:right w:val="single" w:sz="18" w:space="0" w:color="FFFFFF"/>
          <w:insideH w:val="nil"/>
          <w:insideV w:val="nil"/>
        </w:tcBorders>
        <w:shd w:val="clear" w:color="auto" w:fill="548AB7"/>
      </w:tcPr>
    </w:tblStylePr>
    <w:tblStylePr w:type="lastCol">
      <w:tblPr/>
      <w:tcPr>
        <w:tcBorders>
          <w:top w:val="nil"/>
          <w:left w:val="single" w:sz="18" w:space="0" w:color="FFFFFF"/>
          <w:bottom w:val="nil"/>
          <w:right w:val="nil"/>
          <w:insideH w:val="nil"/>
          <w:insideV w:val="nil"/>
        </w:tcBorders>
        <w:shd w:val="clear" w:color="auto" w:fill="548AB7"/>
      </w:tcPr>
    </w:tblStylePr>
    <w:tblStylePr w:type="band1Vert">
      <w:tblPr/>
      <w:tcPr>
        <w:tcBorders>
          <w:top w:val="nil"/>
          <w:left w:val="nil"/>
          <w:bottom w:val="nil"/>
          <w:right w:val="nil"/>
          <w:insideH w:val="nil"/>
          <w:insideV w:val="nil"/>
        </w:tcBorders>
        <w:shd w:val="clear" w:color="auto" w:fill="548AB7"/>
      </w:tcPr>
    </w:tblStylePr>
    <w:tblStylePr w:type="band1Horz">
      <w:tblPr/>
      <w:tcPr>
        <w:tcBorders>
          <w:top w:val="nil"/>
          <w:left w:val="nil"/>
          <w:bottom w:val="nil"/>
          <w:right w:val="nil"/>
          <w:insideH w:val="nil"/>
          <w:insideV w:val="nil"/>
        </w:tcBorders>
        <w:shd w:val="clear" w:color="auto" w:fill="548AB7"/>
      </w:tcPr>
    </w:tblStylePr>
  </w:style>
  <w:style w:type="table" w:customStyle="1" w:styleId="Listaoscura-nfasis22">
    <w:name w:val="Lista oscura - Énfasis 22"/>
    <w:basedOn w:val="TableNormal"/>
    <w:next w:val="DarkList-Accent2"/>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DD80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A3C16"/>
      </w:tcPr>
    </w:tblStylePr>
    <w:tblStylePr w:type="firstCol">
      <w:tblPr/>
      <w:tcPr>
        <w:tcBorders>
          <w:top w:val="nil"/>
          <w:left w:val="nil"/>
          <w:bottom w:val="nil"/>
          <w:right w:val="single" w:sz="18" w:space="0" w:color="FFFFFF"/>
          <w:insideH w:val="nil"/>
          <w:insideV w:val="nil"/>
        </w:tcBorders>
        <w:shd w:val="clear" w:color="auto" w:fill="B85A22"/>
      </w:tcPr>
    </w:tblStylePr>
    <w:tblStylePr w:type="lastCol">
      <w:tblPr/>
      <w:tcPr>
        <w:tcBorders>
          <w:top w:val="nil"/>
          <w:left w:val="single" w:sz="18" w:space="0" w:color="FFFFFF"/>
          <w:bottom w:val="nil"/>
          <w:right w:val="nil"/>
          <w:insideH w:val="nil"/>
          <w:insideV w:val="nil"/>
        </w:tcBorders>
        <w:shd w:val="clear" w:color="auto" w:fill="B85A22"/>
      </w:tcPr>
    </w:tblStylePr>
    <w:tblStylePr w:type="band1Vert">
      <w:tblPr/>
      <w:tcPr>
        <w:tcBorders>
          <w:top w:val="nil"/>
          <w:left w:val="nil"/>
          <w:bottom w:val="nil"/>
          <w:right w:val="nil"/>
          <w:insideH w:val="nil"/>
          <w:insideV w:val="nil"/>
        </w:tcBorders>
        <w:shd w:val="clear" w:color="auto" w:fill="B85A22"/>
      </w:tcPr>
    </w:tblStylePr>
    <w:tblStylePr w:type="band1Horz">
      <w:tblPr/>
      <w:tcPr>
        <w:tcBorders>
          <w:top w:val="nil"/>
          <w:left w:val="nil"/>
          <w:bottom w:val="nil"/>
          <w:right w:val="nil"/>
          <w:insideH w:val="nil"/>
          <w:insideV w:val="nil"/>
        </w:tcBorders>
        <w:shd w:val="clear" w:color="auto" w:fill="B85A22"/>
      </w:tcPr>
    </w:tblStylePr>
  </w:style>
  <w:style w:type="table" w:customStyle="1" w:styleId="Listaoscura-nfasis32">
    <w:name w:val="Lista oscura - Énfasis 32"/>
    <w:basedOn w:val="TableNormal"/>
    <w:next w:val="DarkList-Accent3"/>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A5AB8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5593B"/>
      </w:tcPr>
    </w:tblStylePr>
    <w:tblStylePr w:type="firstCol">
      <w:tblPr/>
      <w:tcPr>
        <w:tcBorders>
          <w:top w:val="nil"/>
          <w:left w:val="nil"/>
          <w:bottom w:val="nil"/>
          <w:right w:val="single" w:sz="18" w:space="0" w:color="FFFFFF"/>
          <w:insideH w:val="nil"/>
          <w:insideV w:val="nil"/>
        </w:tcBorders>
        <w:shd w:val="clear" w:color="auto" w:fill="80865A"/>
      </w:tcPr>
    </w:tblStylePr>
    <w:tblStylePr w:type="lastCol">
      <w:tblPr/>
      <w:tcPr>
        <w:tcBorders>
          <w:top w:val="nil"/>
          <w:left w:val="single" w:sz="18" w:space="0" w:color="FFFFFF"/>
          <w:bottom w:val="nil"/>
          <w:right w:val="nil"/>
          <w:insideH w:val="nil"/>
          <w:insideV w:val="nil"/>
        </w:tcBorders>
        <w:shd w:val="clear" w:color="auto" w:fill="80865A"/>
      </w:tcPr>
    </w:tblStylePr>
    <w:tblStylePr w:type="band1Vert">
      <w:tblPr/>
      <w:tcPr>
        <w:tcBorders>
          <w:top w:val="nil"/>
          <w:left w:val="nil"/>
          <w:bottom w:val="nil"/>
          <w:right w:val="nil"/>
          <w:insideH w:val="nil"/>
          <w:insideV w:val="nil"/>
        </w:tcBorders>
        <w:shd w:val="clear" w:color="auto" w:fill="80865A"/>
      </w:tcPr>
    </w:tblStylePr>
    <w:tblStylePr w:type="band1Horz">
      <w:tblPr/>
      <w:tcPr>
        <w:tcBorders>
          <w:top w:val="nil"/>
          <w:left w:val="nil"/>
          <w:bottom w:val="nil"/>
          <w:right w:val="nil"/>
          <w:insideH w:val="nil"/>
          <w:insideV w:val="nil"/>
        </w:tcBorders>
        <w:shd w:val="clear" w:color="auto" w:fill="80865A"/>
      </w:tcPr>
    </w:tblStylePr>
  </w:style>
  <w:style w:type="table" w:customStyle="1" w:styleId="Listaoscura-nfasis42">
    <w:name w:val="Lista oscura - Énfasis 42"/>
    <w:basedOn w:val="TableNormal"/>
    <w:next w:val="DarkList-Accent4"/>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D8B25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B5E1D"/>
      </w:tcPr>
    </w:tblStylePr>
    <w:tblStylePr w:type="firstCol">
      <w:tblPr/>
      <w:tcPr>
        <w:tcBorders>
          <w:top w:val="nil"/>
          <w:left w:val="nil"/>
          <w:bottom w:val="nil"/>
          <w:right w:val="single" w:sz="18" w:space="0" w:color="FFFFFF"/>
          <w:insideH w:val="nil"/>
          <w:insideV w:val="nil"/>
        </w:tcBorders>
        <w:shd w:val="clear" w:color="auto" w:fill="BA8E2C"/>
      </w:tcPr>
    </w:tblStylePr>
    <w:tblStylePr w:type="lastCol">
      <w:tblPr/>
      <w:tcPr>
        <w:tcBorders>
          <w:top w:val="nil"/>
          <w:left w:val="single" w:sz="18" w:space="0" w:color="FFFFFF"/>
          <w:bottom w:val="nil"/>
          <w:right w:val="nil"/>
          <w:insideH w:val="nil"/>
          <w:insideV w:val="nil"/>
        </w:tcBorders>
        <w:shd w:val="clear" w:color="auto" w:fill="BA8E2C"/>
      </w:tcPr>
    </w:tblStylePr>
    <w:tblStylePr w:type="band1Vert">
      <w:tblPr/>
      <w:tcPr>
        <w:tcBorders>
          <w:top w:val="nil"/>
          <w:left w:val="nil"/>
          <w:bottom w:val="nil"/>
          <w:right w:val="nil"/>
          <w:insideH w:val="nil"/>
          <w:insideV w:val="nil"/>
        </w:tcBorders>
        <w:shd w:val="clear" w:color="auto" w:fill="BA8E2C"/>
      </w:tcPr>
    </w:tblStylePr>
    <w:tblStylePr w:type="band1Horz">
      <w:tblPr/>
      <w:tcPr>
        <w:tcBorders>
          <w:top w:val="nil"/>
          <w:left w:val="nil"/>
          <w:bottom w:val="nil"/>
          <w:right w:val="nil"/>
          <w:insideH w:val="nil"/>
          <w:insideV w:val="nil"/>
        </w:tcBorders>
        <w:shd w:val="clear" w:color="auto" w:fill="BA8E2C"/>
      </w:tcPr>
    </w:tblStylePr>
  </w:style>
  <w:style w:type="table" w:customStyle="1" w:styleId="Listaoscura-nfasis52">
    <w:name w:val="Lista oscura - Énfasis 52"/>
    <w:basedOn w:val="TableNormal"/>
    <w:next w:val="DarkList-Accent5"/>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7BA79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564F"/>
      </w:tcPr>
    </w:tblStylePr>
    <w:tblStylePr w:type="firstCol">
      <w:tblPr/>
      <w:tcPr>
        <w:tcBorders>
          <w:top w:val="nil"/>
          <w:left w:val="nil"/>
          <w:bottom w:val="nil"/>
          <w:right w:val="single" w:sz="18" w:space="0" w:color="FFFFFF"/>
          <w:insideH w:val="nil"/>
          <w:insideV w:val="nil"/>
        </w:tcBorders>
        <w:shd w:val="clear" w:color="auto" w:fill="568278"/>
      </w:tcPr>
    </w:tblStylePr>
    <w:tblStylePr w:type="lastCol">
      <w:tblPr/>
      <w:tcPr>
        <w:tcBorders>
          <w:top w:val="nil"/>
          <w:left w:val="single" w:sz="18" w:space="0" w:color="FFFFFF"/>
          <w:bottom w:val="nil"/>
          <w:right w:val="nil"/>
          <w:insideH w:val="nil"/>
          <w:insideV w:val="nil"/>
        </w:tcBorders>
        <w:shd w:val="clear" w:color="auto" w:fill="568278"/>
      </w:tcPr>
    </w:tblStylePr>
    <w:tblStylePr w:type="band1Vert">
      <w:tblPr/>
      <w:tcPr>
        <w:tcBorders>
          <w:top w:val="nil"/>
          <w:left w:val="nil"/>
          <w:bottom w:val="nil"/>
          <w:right w:val="nil"/>
          <w:insideH w:val="nil"/>
          <w:insideV w:val="nil"/>
        </w:tcBorders>
        <w:shd w:val="clear" w:color="auto" w:fill="568278"/>
      </w:tcPr>
    </w:tblStylePr>
    <w:tblStylePr w:type="band1Horz">
      <w:tblPr/>
      <w:tcPr>
        <w:tcBorders>
          <w:top w:val="nil"/>
          <w:left w:val="nil"/>
          <w:bottom w:val="nil"/>
          <w:right w:val="nil"/>
          <w:insideH w:val="nil"/>
          <w:insideV w:val="nil"/>
        </w:tcBorders>
        <w:shd w:val="clear" w:color="auto" w:fill="568278"/>
      </w:tcPr>
    </w:tblStylePr>
  </w:style>
  <w:style w:type="table" w:customStyle="1" w:styleId="Listaoscura-nfasis62">
    <w:name w:val="Lista oscura - Énfasis 62"/>
    <w:basedOn w:val="TableNormal"/>
    <w:next w:val="DarkList-Accent6"/>
    <w:uiPriority w:val="70"/>
    <w:semiHidden/>
    <w:unhideWhenUsed/>
    <w:rsid w:val="00233AC6"/>
    <w:rPr>
      <w:rFonts w:ascii="Century Gothic" w:eastAsia="Meiryo" w:hAnsi="Century Gothic" w:cs="Arial"/>
      <w:color w:val="FFFFFF"/>
      <w:sz w:val="20"/>
      <w:szCs w:val="20"/>
      <w:lang w:val="en-US" w:eastAsia="zh-CN"/>
    </w:rPr>
    <w:tblPr>
      <w:tblStyleRowBandSize w:val="1"/>
      <w:tblStyleColBandSize w:val="1"/>
    </w:tblPr>
    <w:tcPr>
      <w:shd w:val="clear" w:color="auto" w:fill="968C8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B4545"/>
      </w:tcPr>
    </w:tblStylePr>
    <w:tblStylePr w:type="firstCol">
      <w:tblPr/>
      <w:tcPr>
        <w:tcBorders>
          <w:top w:val="nil"/>
          <w:left w:val="nil"/>
          <w:bottom w:val="nil"/>
          <w:right w:val="single" w:sz="18" w:space="0" w:color="FFFFFF"/>
          <w:insideH w:val="nil"/>
          <w:insideV w:val="nil"/>
        </w:tcBorders>
        <w:shd w:val="clear" w:color="auto" w:fill="716767"/>
      </w:tcPr>
    </w:tblStylePr>
    <w:tblStylePr w:type="lastCol">
      <w:tblPr/>
      <w:tcPr>
        <w:tcBorders>
          <w:top w:val="nil"/>
          <w:left w:val="single" w:sz="18" w:space="0" w:color="FFFFFF"/>
          <w:bottom w:val="nil"/>
          <w:right w:val="nil"/>
          <w:insideH w:val="nil"/>
          <w:insideV w:val="nil"/>
        </w:tcBorders>
        <w:shd w:val="clear" w:color="auto" w:fill="716767"/>
      </w:tcPr>
    </w:tblStylePr>
    <w:tblStylePr w:type="band1Vert">
      <w:tblPr/>
      <w:tcPr>
        <w:tcBorders>
          <w:top w:val="nil"/>
          <w:left w:val="nil"/>
          <w:bottom w:val="nil"/>
          <w:right w:val="nil"/>
          <w:insideH w:val="nil"/>
          <w:insideV w:val="nil"/>
        </w:tcBorders>
        <w:shd w:val="clear" w:color="auto" w:fill="716767"/>
      </w:tcPr>
    </w:tblStylePr>
    <w:tblStylePr w:type="band1Horz">
      <w:tblPr/>
      <w:tcPr>
        <w:tcBorders>
          <w:top w:val="nil"/>
          <w:left w:val="nil"/>
          <w:bottom w:val="nil"/>
          <w:right w:val="nil"/>
          <w:insideH w:val="nil"/>
          <w:insideV w:val="nil"/>
        </w:tcBorders>
        <w:shd w:val="clear" w:color="auto" w:fill="716767"/>
      </w:tcPr>
    </w:tblStylePr>
  </w:style>
  <w:style w:type="table" w:customStyle="1" w:styleId="Tabladelista1clara3">
    <w:name w:val="Tabla de lista 1 clara3"/>
    <w:basedOn w:val="TableNormal"/>
    <w:next w:val="ListTable1Light"/>
    <w:uiPriority w:val="46"/>
    <w:rsid w:val="00233AC6"/>
    <w:rPr>
      <w:rFonts w:ascii="Century Gothic" w:eastAsia="Meiryo" w:hAnsi="Century Gothic" w:cs="Arial"/>
      <w:sz w:val="20"/>
      <w:szCs w:val="20"/>
      <w:lang w:val="en-US"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3">
    <w:name w:val="Tabla de lista 23"/>
    <w:basedOn w:val="TableNormal"/>
    <w:next w:val="ListTable2"/>
    <w:uiPriority w:val="47"/>
    <w:rsid w:val="00233AC6"/>
    <w:rPr>
      <w:rFonts w:ascii="Century Gothic" w:eastAsia="Meiryo" w:hAnsi="Century Gothic" w:cs="Arial"/>
      <w:sz w:val="20"/>
      <w:szCs w:val="20"/>
      <w:lang w:val="en-US"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3">
    <w:name w:val="Tabla de lista 33"/>
    <w:basedOn w:val="TableNormal"/>
    <w:next w:val="ListTable3"/>
    <w:uiPriority w:val="48"/>
    <w:rsid w:val="00233AC6"/>
    <w:rPr>
      <w:rFonts w:ascii="Century Gothic" w:eastAsia="Meiryo" w:hAnsi="Century Gothic" w:cs="Arial"/>
      <w:sz w:val="20"/>
      <w:szCs w:val="20"/>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43">
    <w:name w:val="Tabla de lista 43"/>
    <w:basedOn w:val="TableNormal"/>
    <w:next w:val="ListTable4"/>
    <w:uiPriority w:val="49"/>
    <w:rsid w:val="00233AC6"/>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5oscura3">
    <w:name w:val="Tabla de lista 5 oscura3"/>
    <w:basedOn w:val="TableNormal"/>
    <w:next w:val="ListTable5Dark"/>
    <w:uiPriority w:val="50"/>
    <w:rsid w:val="00233AC6"/>
    <w:rPr>
      <w:rFonts w:ascii="Century Gothic" w:eastAsia="Meiryo" w:hAnsi="Century Gothic" w:cs="Arial"/>
      <w:color w:val="FFFFFF"/>
      <w:sz w:val="20"/>
      <w:szCs w:val="20"/>
      <w:lang w:val="en-US"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3">
    <w:name w:val="Tabla de lista 6 con colores3"/>
    <w:basedOn w:val="TableNormal"/>
    <w:next w:val="ListTable6Colorful"/>
    <w:uiPriority w:val="51"/>
    <w:rsid w:val="00233AC6"/>
    <w:rPr>
      <w:rFonts w:ascii="Century Gothic" w:eastAsia="Meiryo" w:hAnsi="Century Gothic" w:cs="Arial"/>
      <w:color w:val="000000"/>
      <w:sz w:val="20"/>
      <w:szCs w:val="20"/>
      <w:lang w:val="en-US"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3">
    <w:name w:val="Tabla de lista 7 con colores3"/>
    <w:basedOn w:val="TableNormal"/>
    <w:next w:val="ListTable7Colorful"/>
    <w:uiPriority w:val="52"/>
    <w:rsid w:val="00233AC6"/>
    <w:rPr>
      <w:rFonts w:ascii="Century Gothic" w:eastAsia="Meiryo" w:hAnsi="Century Gothic" w:cs="Arial"/>
      <w:color w:val="000000"/>
      <w:sz w:val="20"/>
      <w:szCs w:val="20"/>
      <w:lang w:val="en-US" w:eastAsia="zh-CN"/>
    </w:rPr>
    <w:tblPr>
      <w:tblStyleRowBandSize w:val="1"/>
      <w:tblStyleColBandSize w:val="1"/>
    </w:tblPr>
    <w:tblStylePr w:type="firstRow">
      <w:rPr>
        <w:rFonts w:ascii="Sitka Text Semibold" w:eastAsia="NSimSun" w:hAnsi="Sitka Text Semibold" w:cs="Times New Roman"/>
        <w:i/>
        <w:iCs/>
        <w:sz w:val="26"/>
      </w:rPr>
      <w:tblPr/>
      <w:tcPr>
        <w:tcBorders>
          <w:bottom w:val="single" w:sz="4" w:space="0" w:color="000000"/>
        </w:tcBorders>
        <w:shd w:val="clear" w:color="auto" w:fill="FFFFFF"/>
      </w:tcPr>
    </w:tblStylePr>
    <w:tblStylePr w:type="lastRow">
      <w:rPr>
        <w:rFonts w:ascii="Sitka Text Semibold" w:eastAsia="NSimSun" w:hAnsi="Sitka Text Semibold" w:cs="Times New Roman"/>
        <w:i/>
        <w:iCs/>
        <w:sz w:val="26"/>
      </w:rPr>
      <w:tblPr/>
      <w:tcPr>
        <w:tcBorders>
          <w:top w:val="single" w:sz="4" w:space="0" w:color="000000"/>
        </w:tcBorders>
        <w:shd w:val="clear" w:color="auto" w:fill="FFFFFF"/>
      </w:tcPr>
    </w:tblStylePr>
    <w:tblStylePr w:type="firstCol">
      <w:pPr>
        <w:jc w:val="right"/>
      </w:pPr>
      <w:rPr>
        <w:rFonts w:ascii="Sitka Text Semibold" w:eastAsia="NSimSun" w:hAnsi="Sitka Text Semibold" w:cs="Times New Roman"/>
        <w:i/>
        <w:iCs/>
        <w:sz w:val="26"/>
      </w:rPr>
      <w:tblPr/>
      <w:tcPr>
        <w:tcBorders>
          <w:right w:val="single" w:sz="4" w:space="0" w:color="000000"/>
        </w:tcBorders>
        <w:shd w:val="clear" w:color="auto" w:fill="FFFFFF"/>
      </w:tcPr>
    </w:tblStylePr>
    <w:tblStylePr w:type="lastCol">
      <w:rPr>
        <w:rFonts w:ascii="Sitka Text Semibold" w:eastAsia="NSimSun" w:hAnsi="Sitka Text Semibold"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olumnas12">
    <w:name w:val="Tabla con columnas 12"/>
    <w:basedOn w:val="TableNormal"/>
    <w:next w:val="TableColumns1"/>
    <w:uiPriority w:val="99"/>
    <w:semiHidden/>
    <w:unhideWhenUsed/>
    <w:rsid w:val="00233AC6"/>
    <w:rPr>
      <w:rFonts w:ascii="Century Gothic" w:eastAsia="Meiryo" w:hAnsi="Century Gothic" w:cs="Arial"/>
      <w:b/>
      <w:bCs/>
      <w:sz w:val="20"/>
      <w:szCs w:val="20"/>
      <w:lang w:val="en-US"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2">
    <w:name w:val="Tabla con columnas 22"/>
    <w:basedOn w:val="TableNormal"/>
    <w:next w:val="TableColumns2"/>
    <w:uiPriority w:val="99"/>
    <w:semiHidden/>
    <w:unhideWhenUsed/>
    <w:rsid w:val="00233AC6"/>
    <w:rPr>
      <w:rFonts w:ascii="Century Gothic" w:eastAsia="Meiryo" w:hAnsi="Century Gothic" w:cs="Arial"/>
      <w:b/>
      <w:bCs/>
      <w:sz w:val="20"/>
      <w:szCs w:val="20"/>
      <w:lang w:val="en-US"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32">
    <w:name w:val="Tabla con columnas 32"/>
    <w:basedOn w:val="TableNormal"/>
    <w:next w:val="TableColumns3"/>
    <w:uiPriority w:val="99"/>
    <w:semiHidden/>
    <w:unhideWhenUsed/>
    <w:rsid w:val="00233AC6"/>
    <w:rPr>
      <w:rFonts w:ascii="Century Gothic" w:eastAsia="Meiryo" w:hAnsi="Century Gothic" w:cs="Arial"/>
      <w:b/>
      <w:bCs/>
      <w:sz w:val="20"/>
      <w:szCs w:val="20"/>
      <w:lang w:val="en-US"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aconcolumnas42">
    <w:name w:val="Tabla con columnas 42"/>
    <w:basedOn w:val="TableNormal"/>
    <w:next w:val="TableColumns4"/>
    <w:uiPriority w:val="99"/>
    <w:semiHidden/>
    <w:unhideWhenUsed/>
    <w:rsid w:val="00233AC6"/>
    <w:rPr>
      <w:rFonts w:ascii="Century Gothic" w:eastAsia="Meiryo" w:hAnsi="Century Gothic" w:cs="Arial"/>
      <w:sz w:val="20"/>
      <w:szCs w:val="20"/>
      <w:lang w:val="en-US"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columnas52">
    <w:name w:val="Tabla con columnas 52"/>
    <w:basedOn w:val="TableNormal"/>
    <w:next w:val="TableColumns5"/>
    <w:uiPriority w:val="99"/>
    <w:semiHidden/>
    <w:unhideWhenUsed/>
    <w:rsid w:val="00233AC6"/>
    <w:rPr>
      <w:rFonts w:ascii="Century Gothic" w:eastAsia="Meiryo" w:hAnsi="Century Gothic" w:cs="Arial"/>
      <w:sz w:val="20"/>
      <w:szCs w:val="20"/>
      <w:lang w:val="en-US"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absica12">
    <w:name w:val="Tabla básica 12"/>
    <w:basedOn w:val="TableNormal"/>
    <w:next w:val="TableSimple1"/>
    <w:uiPriority w:val="99"/>
    <w:semiHidden/>
    <w:unhideWhenUsed/>
    <w:rsid w:val="00233AC6"/>
    <w:rPr>
      <w:rFonts w:ascii="Century Gothic" w:eastAsia="Meiryo" w:hAnsi="Century Gothic" w:cs="Arial"/>
      <w:sz w:val="20"/>
      <w:szCs w:val="20"/>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2">
    <w:name w:val="Tabla básica 22"/>
    <w:basedOn w:val="TableNormal"/>
    <w:next w:val="TableSimple2"/>
    <w:uiPriority w:val="99"/>
    <w:semiHidden/>
    <w:unhideWhenUsed/>
    <w:rsid w:val="00233AC6"/>
    <w:rPr>
      <w:rFonts w:ascii="Century Gothic" w:eastAsia="Meiryo" w:hAnsi="Century Gothic" w:cs="Arial"/>
      <w:sz w:val="20"/>
      <w:szCs w:val="20"/>
      <w:lang w:val="en-US"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2">
    <w:name w:val="Tabla básica 32"/>
    <w:basedOn w:val="TableNormal"/>
    <w:next w:val="TableSimple3"/>
    <w:uiPriority w:val="99"/>
    <w:semiHidden/>
    <w:unhideWhenUsed/>
    <w:rsid w:val="00233AC6"/>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sutil12">
    <w:name w:val="Tabla sutil 12"/>
    <w:basedOn w:val="TableNormal"/>
    <w:next w:val="TableSubtle1"/>
    <w:uiPriority w:val="99"/>
    <w:semiHidden/>
    <w:unhideWhenUsed/>
    <w:rsid w:val="00233AC6"/>
    <w:rPr>
      <w:rFonts w:ascii="Century Gothic" w:eastAsia="Meiryo" w:hAnsi="Century Gothic" w:cs="Arial"/>
      <w:sz w:val="20"/>
      <w:szCs w:val="20"/>
      <w:lang w:val="en-US"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sutil22">
    <w:name w:val="Tabla sutil 22"/>
    <w:basedOn w:val="TableNormal"/>
    <w:next w:val="TableSubtle2"/>
    <w:uiPriority w:val="99"/>
    <w:semiHidden/>
    <w:unhideWhenUsed/>
    <w:rsid w:val="00233AC6"/>
    <w:rPr>
      <w:rFonts w:ascii="Century Gothic" w:eastAsia="Meiryo" w:hAnsi="Century Gothic" w:cs="Arial"/>
      <w:sz w:val="20"/>
      <w:szCs w:val="20"/>
      <w:lang w:val="en-US"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2">
    <w:name w:val="Tabla con cuadrícula 12"/>
    <w:basedOn w:val="TableNormal"/>
    <w:next w:val="TableGrid1"/>
    <w:uiPriority w:val="99"/>
    <w:semiHidden/>
    <w:unhideWhenUsed/>
    <w:rsid w:val="00233AC6"/>
    <w:rPr>
      <w:rFonts w:ascii="Century Gothic" w:eastAsia="Meiryo" w:hAnsi="Century Gothic" w:cs="Arial"/>
      <w:sz w:val="20"/>
      <w:szCs w:val="20"/>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uadrculadetabla22">
    <w:name w:val="Cuadrícula de tabla 22"/>
    <w:basedOn w:val="TableNormal"/>
    <w:next w:val="TableGrid2"/>
    <w:uiPriority w:val="99"/>
    <w:semiHidden/>
    <w:unhideWhenUsed/>
    <w:rsid w:val="00233AC6"/>
    <w:rPr>
      <w:rFonts w:ascii="Century Gothic" w:eastAsia="Meiryo" w:hAnsi="Century Gothic" w:cs="Arial"/>
      <w:sz w:val="20"/>
      <w:szCs w:val="20"/>
      <w:lang w:val="en-US"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32">
    <w:name w:val="Cuadrícula de tabla 32"/>
    <w:basedOn w:val="TableNormal"/>
    <w:next w:val="TableGrid3"/>
    <w:uiPriority w:val="99"/>
    <w:semiHidden/>
    <w:unhideWhenUsed/>
    <w:rsid w:val="00233AC6"/>
    <w:rPr>
      <w:rFonts w:ascii="Century Gothic" w:eastAsia="Meiryo" w:hAnsi="Century Gothic" w:cs="Arial"/>
      <w:sz w:val="20"/>
      <w:szCs w:val="20"/>
      <w:lang w:val="en-US"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42">
    <w:name w:val="Cuadrícula de tabla 42"/>
    <w:basedOn w:val="TableNormal"/>
    <w:next w:val="TableGrid4"/>
    <w:uiPriority w:val="99"/>
    <w:semiHidden/>
    <w:unhideWhenUsed/>
    <w:rsid w:val="00233AC6"/>
    <w:rPr>
      <w:rFonts w:ascii="Century Gothic" w:eastAsia="Meiryo" w:hAnsi="Century Gothic" w:cs="Arial"/>
      <w:sz w:val="20"/>
      <w:szCs w:val="20"/>
      <w:lang w:val="en-US"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aconcuadrcula52">
    <w:name w:val="Tabla con cuadrícula 52"/>
    <w:basedOn w:val="TableNormal"/>
    <w:next w:val="TableGrid5"/>
    <w:uiPriority w:val="99"/>
    <w:semiHidden/>
    <w:unhideWhenUsed/>
    <w:rsid w:val="00233AC6"/>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62">
    <w:name w:val="Tabla con cuadrícula 62"/>
    <w:basedOn w:val="TableNormal"/>
    <w:next w:val="TableGrid6"/>
    <w:uiPriority w:val="99"/>
    <w:semiHidden/>
    <w:unhideWhenUsed/>
    <w:rsid w:val="00233AC6"/>
    <w:rPr>
      <w:rFonts w:ascii="Century Gothic" w:eastAsia="Meiryo" w:hAnsi="Century Gothic" w:cs="Arial"/>
      <w:sz w:val="20"/>
      <w:szCs w:val="20"/>
      <w:lang w:val="en-US"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72">
    <w:name w:val="Tabla con cuadrícula 72"/>
    <w:basedOn w:val="TableNormal"/>
    <w:next w:val="TableGrid7"/>
    <w:uiPriority w:val="99"/>
    <w:semiHidden/>
    <w:unhideWhenUsed/>
    <w:rsid w:val="00233AC6"/>
    <w:rPr>
      <w:rFonts w:ascii="Century Gothic" w:eastAsia="Meiryo" w:hAnsi="Century Gothic" w:cs="Arial"/>
      <w:b/>
      <w:bCs/>
      <w:sz w:val="20"/>
      <w:szCs w:val="20"/>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82">
    <w:name w:val="Tabla con cuadrícula 82"/>
    <w:basedOn w:val="TableNormal"/>
    <w:next w:val="TableGrid8"/>
    <w:uiPriority w:val="99"/>
    <w:semiHidden/>
    <w:unhideWhenUsed/>
    <w:rsid w:val="00233AC6"/>
    <w:rPr>
      <w:rFonts w:ascii="Century Gothic" w:eastAsia="Meiryo" w:hAnsi="Century Gothic" w:cs="Arial"/>
      <w:sz w:val="20"/>
      <w:szCs w:val="20"/>
      <w:lang w:val="en-US"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cuadrcula1clara3">
    <w:name w:val="Tabla con cuadrícula 1 clara3"/>
    <w:basedOn w:val="TableNormal"/>
    <w:next w:val="GridTable1Light"/>
    <w:uiPriority w:val="46"/>
    <w:rsid w:val="00233AC6"/>
    <w:rPr>
      <w:rFonts w:ascii="Century Gothic" w:eastAsia="Meiryo" w:hAnsi="Century Gothic" w:cs="Arial"/>
      <w:sz w:val="20"/>
      <w:szCs w:val="20"/>
      <w:lang w:val="en-US"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23">
    <w:name w:val="Tabla de cuadrícula 23"/>
    <w:basedOn w:val="TableNormal"/>
    <w:next w:val="GridTable2"/>
    <w:uiPriority w:val="47"/>
    <w:rsid w:val="00233AC6"/>
    <w:rPr>
      <w:rFonts w:ascii="Century Gothic" w:eastAsia="Meiryo" w:hAnsi="Century Gothic" w:cs="Arial"/>
      <w:sz w:val="20"/>
      <w:szCs w:val="20"/>
      <w:lang w:val="en-US"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33">
    <w:name w:val="Tabla de cuadrícula 33"/>
    <w:basedOn w:val="TableNormal"/>
    <w:next w:val="GridTable3"/>
    <w:uiPriority w:val="48"/>
    <w:rsid w:val="00233AC6"/>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decuadrcula43">
    <w:name w:val="Tabla de cuadrícula 43"/>
    <w:basedOn w:val="TableNormal"/>
    <w:next w:val="GridTable4"/>
    <w:uiPriority w:val="49"/>
    <w:rsid w:val="00233AC6"/>
    <w:rPr>
      <w:rFonts w:ascii="Century Gothic" w:eastAsia="Meiryo" w:hAnsi="Century Gothic" w:cs="Arial"/>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5oscura3">
    <w:name w:val="Tabla con cuadrícula 5 oscura3"/>
    <w:basedOn w:val="TableNormal"/>
    <w:next w:val="GridTable5Dark"/>
    <w:uiPriority w:val="50"/>
    <w:rsid w:val="00233AC6"/>
    <w:rPr>
      <w:rFonts w:ascii="Century Gothic" w:eastAsia="Meiryo" w:hAnsi="Century Gothic" w:cs="Arial"/>
      <w:sz w:val="20"/>
      <w:szCs w:val="20"/>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concuadrcula6concolores3">
    <w:name w:val="Tabla con cuadrícula 6 con colores3"/>
    <w:basedOn w:val="TableNormal"/>
    <w:next w:val="GridTable6Colorful"/>
    <w:uiPriority w:val="51"/>
    <w:rsid w:val="00233AC6"/>
    <w:rPr>
      <w:rFonts w:ascii="Century Gothic" w:eastAsia="Meiryo" w:hAnsi="Century Gothic" w:cs="Arial"/>
      <w:color w:val="000000"/>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7concolores3">
    <w:name w:val="Tabla con cuadrícula 7 con colores3"/>
    <w:basedOn w:val="TableNormal"/>
    <w:next w:val="GridTable7Colorful"/>
    <w:uiPriority w:val="52"/>
    <w:rsid w:val="00233AC6"/>
    <w:rPr>
      <w:rFonts w:ascii="Century Gothic" w:eastAsia="Meiryo" w:hAnsi="Century Gothic" w:cs="Arial"/>
      <w:color w:val="000000"/>
      <w:sz w:val="20"/>
      <w:szCs w:val="20"/>
      <w:lang w:val="en-US"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web12">
    <w:name w:val="Tabla web 12"/>
    <w:basedOn w:val="TableNormal"/>
    <w:next w:val="TableWeb1"/>
    <w:uiPriority w:val="99"/>
    <w:semiHidden/>
    <w:unhideWhenUsed/>
    <w:rsid w:val="00233AC6"/>
    <w:rPr>
      <w:rFonts w:ascii="Century Gothic" w:eastAsia="Meiryo" w:hAnsi="Century Gothic" w:cs="Arial"/>
      <w:sz w:val="20"/>
      <w:szCs w:val="20"/>
      <w:lang w:val="en-US"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2">
    <w:name w:val="Tabla web 22"/>
    <w:basedOn w:val="TableNormal"/>
    <w:next w:val="TableWeb2"/>
    <w:uiPriority w:val="99"/>
    <w:semiHidden/>
    <w:unhideWhenUsed/>
    <w:rsid w:val="00233AC6"/>
    <w:rPr>
      <w:rFonts w:ascii="Century Gothic" w:eastAsia="Meiryo" w:hAnsi="Century Gothic" w:cs="Arial"/>
      <w:sz w:val="20"/>
      <w:szCs w:val="20"/>
      <w:lang w:val="en-US"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32">
    <w:name w:val="Tabla web 32"/>
    <w:basedOn w:val="TableNormal"/>
    <w:next w:val="TableWeb3"/>
    <w:uiPriority w:val="99"/>
    <w:semiHidden/>
    <w:unhideWhenUsed/>
    <w:rsid w:val="00233AC6"/>
    <w:rPr>
      <w:rFonts w:ascii="Century Gothic" w:eastAsia="Meiryo" w:hAnsi="Century Gothic" w:cs="Arial"/>
      <w:sz w:val="20"/>
      <w:szCs w:val="20"/>
      <w:lang w:val="en-US"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efectos3D12">
    <w:name w:val="Tabla con efectos 3D 12"/>
    <w:basedOn w:val="TableNormal"/>
    <w:next w:val="Table3Deffects1"/>
    <w:uiPriority w:val="99"/>
    <w:semiHidden/>
    <w:unhideWhenUsed/>
    <w:rsid w:val="00233AC6"/>
    <w:rPr>
      <w:rFonts w:ascii="Century Gothic" w:eastAsia="Meiryo" w:hAnsi="Century Gothic" w:cs="Arial"/>
      <w:sz w:val="20"/>
      <w:szCs w:val="20"/>
      <w:lang w:val="en-US"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onefectos3D22">
    <w:name w:val="Tabla con efectos 3D 22"/>
    <w:basedOn w:val="TableNormal"/>
    <w:next w:val="Table3Deffects2"/>
    <w:uiPriority w:val="99"/>
    <w:semiHidden/>
    <w:unhideWhenUsed/>
    <w:rsid w:val="00233AC6"/>
    <w:rPr>
      <w:rFonts w:ascii="Century Gothic" w:eastAsia="Meiryo" w:hAnsi="Century Gothic" w:cs="Arial"/>
      <w:sz w:val="20"/>
      <w:szCs w:val="20"/>
      <w:lang w:val="en-US"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efectos3D32">
    <w:name w:val="Tabla con efectos 3D 32"/>
    <w:basedOn w:val="TableNormal"/>
    <w:next w:val="Table3Deffects3"/>
    <w:uiPriority w:val="99"/>
    <w:semiHidden/>
    <w:unhideWhenUsed/>
    <w:rsid w:val="00233AC6"/>
    <w:rPr>
      <w:rFonts w:ascii="Century Gothic" w:eastAsia="Meiryo" w:hAnsi="Century Gothic" w:cs="Arial"/>
      <w:sz w:val="20"/>
      <w:szCs w:val="20"/>
      <w:lang w:val="en-US"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tema2">
    <w:name w:val="Tabla con tema2"/>
    <w:basedOn w:val="TableNormal"/>
    <w:next w:val="TableTheme"/>
    <w:uiPriority w:val="99"/>
    <w:semiHidden/>
    <w:unhideWhenUsed/>
    <w:rsid w:val="00233AC6"/>
    <w:rPr>
      <w:rFonts w:ascii="Century Gothic" w:eastAsia="Meiryo" w:hAnsi="Century Gothic"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1E01"/>
    <w:rPr>
      <w:color w:val="605E5C"/>
      <w:shd w:val="clear" w:color="auto" w:fill="E1DFDD"/>
    </w:rPr>
  </w:style>
  <w:style w:type="character" w:customStyle="1" w:styleId="normaltextrun">
    <w:name w:val="normaltextrun"/>
    <w:basedOn w:val="DefaultParagraphFont"/>
    <w:rsid w:val="00965DFF"/>
  </w:style>
  <w:style w:type="paragraph" w:customStyle="1" w:styleId="Arribapar">
    <w:name w:val="Arriba par"/>
    <w:basedOn w:val="Normal"/>
    <w:qFormat/>
    <w:rsid w:val="00965DFF"/>
    <w:pPr>
      <w:spacing w:after="120"/>
    </w:pPr>
    <w:rPr>
      <w:rFonts w:ascii="Garamond" w:eastAsia="Calibri" w:hAnsi="Garamond" w:cs="Times New Roman"/>
      <w:sz w:val="16"/>
      <w:szCs w:val="14"/>
      <w:lang w:val="es-CO" w:eastAsia="en-US"/>
    </w:rPr>
  </w:style>
  <w:style w:type="paragraph" w:customStyle="1" w:styleId="paragraph">
    <w:name w:val="paragraph"/>
    <w:basedOn w:val="Normal"/>
    <w:rsid w:val="00965DFF"/>
    <w:pPr>
      <w:spacing w:before="100" w:beforeAutospacing="1" w:after="100" w:afterAutospacing="1"/>
    </w:pPr>
    <w:rPr>
      <w:rFonts w:ascii="Times New Roman" w:eastAsia="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6663">
      <w:bodyDiv w:val="1"/>
      <w:marLeft w:val="0"/>
      <w:marRight w:val="0"/>
      <w:marTop w:val="0"/>
      <w:marBottom w:val="0"/>
      <w:divBdr>
        <w:top w:val="none" w:sz="0" w:space="0" w:color="auto"/>
        <w:left w:val="none" w:sz="0" w:space="0" w:color="auto"/>
        <w:bottom w:val="none" w:sz="0" w:space="0" w:color="auto"/>
        <w:right w:val="none" w:sz="0" w:space="0" w:color="auto"/>
      </w:divBdr>
    </w:div>
    <w:div w:id="81534061">
      <w:bodyDiv w:val="1"/>
      <w:marLeft w:val="0"/>
      <w:marRight w:val="0"/>
      <w:marTop w:val="0"/>
      <w:marBottom w:val="0"/>
      <w:divBdr>
        <w:top w:val="none" w:sz="0" w:space="0" w:color="auto"/>
        <w:left w:val="none" w:sz="0" w:space="0" w:color="auto"/>
        <w:bottom w:val="none" w:sz="0" w:space="0" w:color="auto"/>
        <w:right w:val="none" w:sz="0" w:space="0" w:color="auto"/>
      </w:divBdr>
    </w:div>
    <w:div w:id="109785859">
      <w:bodyDiv w:val="1"/>
      <w:marLeft w:val="0"/>
      <w:marRight w:val="0"/>
      <w:marTop w:val="0"/>
      <w:marBottom w:val="0"/>
      <w:divBdr>
        <w:top w:val="none" w:sz="0" w:space="0" w:color="auto"/>
        <w:left w:val="none" w:sz="0" w:space="0" w:color="auto"/>
        <w:bottom w:val="none" w:sz="0" w:space="0" w:color="auto"/>
        <w:right w:val="none" w:sz="0" w:space="0" w:color="auto"/>
      </w:divBdr>
    </w:div>
    <w:div w:id="141237388">
      <w:bodyDiv w:val="1"/>
      <w:marLeft w:val="0"/>
      <w:marRight w:val="0"/>
      <w:marTop w:val="0"/>
      <w:marBottom w:val="0"/>
      <w:divBdr>
        <w:top w:val="none" w:sz="0" w:space="0" w:color="auto"/>
        <w:left w:val="none" w:sz="0" w:space="0" w:color="auto"/>
        <w:bottom w:val="none" w:sz="0" w:space="0" w:color="auto"/>
        <w:right w:val="none" w:sz="0" w:space="0" w:color="auto"/>
      </w:divBdr>
    </w:div>
    <w:div w:id="229773231">
      <w:bodyDiv w:val="1"/>
      <w:marLeft w:val="0"/>
      <w:marRight w:val="0"/>
      <w:marTop w:val="0"/>
      <w:marBottom w:val="0"/>
      <w:divBdr>
        <w:top w:val="none" w:sz="0" w:space="0" w:color="auto"/>
        <w:left w:val="none" w:sz="0" w:space="0" w:color="auto"/>
        <w:bottom w:val="none" w:sz="0" w:space="0" w:color="auto"/>
        <w:right w:val="none" w:sz="0" w:space="0" w:color="auto"/>
      </w:divBdr>
    </w:div>
    <w:div w:id="232668250">
      <w:bodyDiv w:val="1"/>
      <w:marLeft w:val="0"/>
      <w:marRight w:val="0"/>
      <w:marTop w:val="0"/>
      <w:marBottom w:val="0"/>
      <w:divBdr>
        <w:top w:val="none" w:sz="0" w:space="0" w:color="auto"/>
        <w:left w:val="none" w:sz="0" w:space="0" w:color="auto"/>
        <w:bottom w:val="none" w:sz="0" w:space="0" w:color="auto"/>
        <w:right w:val="none" w:sz="0" w:space="0" w:color="auto"/>
      </w:divBdr>
    </w:div>
    <w:div w:id="263854170">
      <w:bodyDiv w:val="1"/>
      <w:marLeft w:val="0"/>
      <w:marRight w:val="0"/>
      <w:marTop w:val="0"/>
      <w:marBottom w:val="0"/>
      <w:divBdr>
        <w:top w:val="none" w:sz="0" w:space="0" w:color="auto"/>
        <w:left w:val="none" w:sz="0" w:space="0" w:color="auto"/>
        <w:bottom w:val="none" w:sz="0" w:space="0" w:color="auto"/>
        <w:right w:val="none" w:sz="0" w:space="0" w:color="auto"/>
      </w:divBdr>
    </w:div>
    <w:div w:id="271475238">
      <w:bodyDiv w:val="1"/>
      <w:marLeft w:val="0"/>
      <w:marRight w:val="0"/>
      <w:marTop w:val="0"/>
      <w:marBottom w:val="0"/>
      <w:divBdr>
        <w:top w:val="none" w:sz="0" w:space="0" w:color="auto"/>
        <w:left w:val="none" w:sz="0" w:space="0" w:color="auto"/>
        <w:bottom w:val="none" w:sz="0" w:space="0" w:color="auto"/>
        <w:right w:val="none" w:sz="0" w:space="0" w:color="auto"/>
      </w:divBdr>
    </w:div>
    <w:div w:id="311101912">
      <w:bodyDiv w:val="1"/>
      <w:marLeft w:val="0"/>
      <w:marRight w:val="0"/>
      <w:marTop w:val="0"/>
      <w:marBottom w:val="0"/>
      <w:divBdr>
        <w:top w:val="none" w:sz="0" w:space="0" w:color="auto"/>
        <w:left w:val="none" w:sz="0" w:space="0" w:color="auto"/>
        <w:bottom w:val="none" w:sz="0" w:space="0" w:color="auto"/>
        <w:right w:val="none" w:sz="0" w:space="0" w:color="auto"/>
      </w:divBdr>
    </w:div>
    <w:div w:id="325283104">
      <w:bodyDiv w:val="1"/>
      <w:marLeft w:val="0"/>
      <w:marRight w:val="0"/>
      <w:marTop w:val="0"/>
      <w:marBottom w:val="0"/>
      <w:divBdr>
        <w:top w:val="none" w:sz="0" w:space="0" w:color="auto"/>
        <w:left w:val="none" w:sz="0" w:space="0" w:color="auto"/>
        <w:bottom w:val="none" w:sz="0" w:space="0" w:color="auto"/>
        <w:right w:val="none" w:sz="0" w:space="0" w:color="auto"/>
      </w:divBdr>
    </w:div>
    <w:div w:id="336274502">
      <w:bodyDiv w:val="1"/>
      <w:marLeft w:val="0"/>
      <w:marRight w:val="0"/>
      <w:marTop w:val="0"/>
      <w:marBottom w:val="0"/>
      <w:divBdr>
        <w:top w:val="none" w:sz="0" w:space="0" w:color="auto"/>
        <w:left w:val="none" w:sz="0" w:space="0" w:color="auto"/>
        <w:bottom w:val="none" w:sz="0" w:space="0" w:color="auto"/>
        <w:right w:val="none" w:sz="0" w:space="0" w:color="auto"/>
      </w:divBdr>
    </w:div>
    <w:div w:id="444077297">
      <w:bodyDiv w:val="1"/>
      <w:marLeft w:val="0"/>
      <w:marRight w:val="0"/>
      <w:marTop w:val="0"/>
      <w:marBottom w:val="0"/>
      <w:divBdr>
        <w:top w:val="none" w:sz="0" w:space="0" w:color="auto"/>
        <w:left w:val="none" w:sz="0" w:space="0" w:color="auto"/>
        <w:bottom w:val="none" w:sz="0" w:space="0" w:color="auto"/>
        <w:right w:val="none" w:sz="0" w:space="0" w:color="auto"/>
      </w:divBdr>
    </w:div>
    <w:div w:id="491066100">
      <w:bodyDiv w:val="1"/>
      <w:marLeft w:val="0"/>
      <w:marRight w:val="0"/>
      <w:marTop w:val="0"/>
      <w:marBottom w:val="0"/>
      <w:divBdr>
        <w:top w:val="none" w:sz="0" w:space="0" w:color="auto"/>
        <w:left w:val="none" w:sz="0" w:space="0" w:color="auto"/>
        <w:bottom w:val="none" w:sz="0" w:space="0" w:color="auto"/>
        <w:right w:val="none" w:sz="0" w:space="0" w:color="auto"/>
      </w:divBdr>
    </w:div>
    <w:div w:id="568810265">
      <w:bodyDiv w:val="1"/>
      <w:marLeft w:val="0"/>
      <w:marRight w:val="0"/>
      <w:marTop w:val="0"/>
      <w:marBottom w:val="0"/>
      <w:divBdr>
        <w:top w:val="none" w:sz="0" w:space="0" w:color="auto"/>
        <w:left w:val="none" w:sz="0" w:space="0" w:color="auto"/>
        <w:bottom w:val="none" w:sz="0" w:space="0" w:color="auto"/>
        <w:right w:val="none" w:sz="0" w:space="0" w:color="auto"/>
      </w:divBdr>
    </w:div>
    <w:div w:id="603075278">
      <w:bodyDiv w:val="1"/>
      <w:marLeft w:val="0"/>
      <w:marRight w:val="0"/>
      <w:marTop w:val="0"/>
      <w:marBottom w:val="0"/>
      <w:divBdr>
        <w:top w:val="none" w:sz="0" w:space="0" w:color="auto"/>
        <w:left w:val="none" w:sz="0" w:space="0" w:color="auto"/>
        <w:bottom w:val="none" w:sz="0" w:space="0" w:color="auto"/>
        <w:right w:val="none" w:sz="0" w:space="0" w:color="auto"/>
      </w:divBdr>
    </w:div>
    <w:div w:id="614750551">
      <w:bodyDiv w:val="1"/>
      <w:marLeft w:val="0"/>
      <w:marRight w:val="0"/>
      <w:marTop w:val="0"/>
      <w:marBottom w:val="0"/>
      <w:divBdr>
        <w:top w:val="none" w:sz="0" w:space="0" w:color="auto"/>
        <w:left w:val="none" w:sz="0" w:space="0" w:color="auto"/>
        <w:bottom w:val="none" w:sz="0" w:space="0" w:color="auto"/>
        <w:right w:val="none" w:sz="0" w:space="0" w:color="auto"/>
      </w:divBdr>
    </w:div>
    <w:div w:id="670259231">
      <w:bodyDiv w:val="1"/>
      <w:marLeft w:val="0"/>
      <w:marRight w:val="0"/>
      <w:marTop w:val="0"/>
      <w:marBottom w:val="0"/>
      <w:divBdr>
        <w:top w:val="none" w:sz="0" w:space="0" w:color="auto"/>
        <w:left w:val="none" w:sz="0" w:space="0" w:color="auto"/>
        <w:bottom w:val="none" w:sz="0" w:space="0" w:color="auto"/>
        <w:right w:val="none" w:sz="0" w:space="0" w:color="auto"/>
      </w:divBdr>
    </w:div>
    <w:div w:id="687098116">
      <w:bodyDiv w:val="1"/>
      <w:marLeft w:val="0"/>
      <w:marRight w:val="0"/>
      <w:marTop w:val="0"/>
      <w:marBottom w:val="0"/>
      <w:divBdr>
        <w:top w:val="none" w:sz="0" w:space="0" w:color="auto"/>
        <w:left w:val="none" w:sz="0" w:space="0" w:color="auto"/>
        <w:bottom w:val="none" w:sz="0" w:space="0" w:color="auto"/>
        <w:right w:val="none" w:sz="0" w:space="0" w:color="auto"/>
      </w:divBdr>
    </w:div>
    <w:div w:id="689988488">
      <w:bodyDiv w:val="1"/>
      <w:marLeft w:val="0"/>
      <w:marRight w:val="0"/>
      <w:marTop w:val="0"/>
      <w:marBottom w:val="0"/>
      <w:divBdr>
        <w:top w:val="none" w:sz="0" w:space="0" w:color="auto"/>
        <w:left w:val="none" w:sz="0" w:space="0" w:color="auto"/>
        <w:bottom w:val="none" w:sz="0" w:space="0" w:color="auto"/>
        <w:right w:val="none" w:sz="0" w:space="0" w:color="auto"/>
      </w:divBdr>
    </w:div>
    <w:div w:id="727655118">
      <w:bodyDiv w:val="1"/>
      <w:marLeft w:val="0"/>
      <w:marRight w:val="0"/>
      <w:marTop w:val="0"/>
      <w:marBottom w:val="0"/>
      <w:divBdr>
        <w:top w:val="none" w:sz="0" w:space="0" w:color="auto"/>
        <w:left w:val="none" w:sz="0" w:space="0" w:color="auto"/>
        <w:bottom w:val="none" w:sz="0" w:space="0" w:color="auto"/>
        <w:right w:val="none" w:sz="0" w:space="0" w:color="auto"/>
      </w:divBdr>
    </w:div>
    <w:div w:id="743915816">
      <w:bodyDiv w:val="1"/>
      <w:marLeft w:val="0"/>
      <w:marRight w:val="0"/>
      <w:marTop w:val="0"/>
      <w:marBottom w:val="0"/>
      <w:divBdr>
        <w:top w:val="none" w:sz="0" w:space="0" w:color="auto"/>
        <w:left w:val="none" w:sz="0" w:space="0" w:color="auto"/>
        <w:bottom w:val="none" w:sz="0" w:space="0" w:color="auto"/>
        <w:right w:val="none" w:sz="0" w:space="0" w:color="auto"/>
      </w:divBdr>
    </w:div>
    <w:div w:id="745422855">
      <w:bodyDiv w:val="1"/>
      <w:marLeft w:val="0"/>
      <w:marRight w:val="0"/>
      <w:marTop w:val="0"/>
      <w:marBottom w:val="0"/>
      <w:divBdr>
        <w:top w:val="none" w:sz="0" w:space="0" w:color="auto"/>
        <w:left w:val="none" w:sz="0" w:space="0" w:color="auto"/>
        <w:bottom w:val="none" w:sz="0" w:space="0" w:color="auto"/>
        <w:right w:val="none" w:sz="0" w:space="0" w:color="auto"/>
      </w:divBdr>
    </w:div>
    <w:div w:id="762150149">
      <w:bodyDiv w:val="1"/>
      <w:marLeft w:val="0"/>
      <w:marRight w:val="0"/>
      <w:marTop w:val="0"/>
      <w:marBottom w:val="0"/>
      <w:divBdr>
        <w:top w:val="none" w:sz="0" w:space="0" w:color="auto"/>
        <w:left w:val="none" w:sz="0" w:space="0" w:color="auto"/>
        <w:bottom w:val="none" w:sz="0" w:space="0" w:color="auto"/>
        <w:right w:val="none" w:sz="0" w:space="0" w:color="auto"/>
      </w:divBdr>
    </w:div>
    <w:div w:id="768816891">
      <w:bodyDiv w:val="1"/>
      <w:marLeft w:val="0"/>
      <w:marRight w:val="0"/>
      <w:marTop w:val="0"/>
      <w:marBottom w:val="0"/>
      <w:divBdr>
        <w:top w:val="none" w:sz="0" w:space="0" w:color="auto"/>
        <w:left w:val="none" w:sz="0" w:space="0" w:color="auto"/>
        <w:bottom w:val="none" w:sz="0" w:space="0" w:color="auto"/>
        <w:right w:val="none" w:sz="0" w:space="0" w:color="auto"/>
      </w:divBdr>
    </w:div>
    <w:div w:id="783502368">
      <w:bodyDiv w:val="1"/>
      <w:marLeft w:val="0"/>
      <w:marRight w:val="0"/>
      <w:marTop w:val="0"/>
      <w:marBottom w:val="0"/>
      <w:divBdr>
        <w:top w:val="none" w:sz="0" w:space="0" w:color="auto"/>
        <w:left w:val="none" w:sz="0" w:space="0" w:color="auto"/>
        <w:bottom w:val="none" w:sz="0" w:space="0" w:color="auto"/>
        <w:right w:val="none" w:sz="0" w:space="0" w:color="auto"/>
      </w:divBdr>
    </w:div>
    <w:div w:id="903026123">
      <w:bodyDiv w:val="1"/>
      <w:marLeft w:val="0"/>
      <w:marRight w:val="0"/>
      <w:marTop w:val="0"/>
      <w:marBottom w:val="0"/>
      <w:divBdr>
        <w:top w:val="none" w:sz="0" w:space="0" w:color="auto"/>
        <w:left w:val="none" w:sz="0" w:space="0" w:color="auto"/>
        <w:bottom w:val="none" w:sz="0" w:space="0" w:color="auto"/>
        <w:right w:val="none" w:sz="0" w:space="0" w:color="auto"/>
      </w:divBdr>
    </w:div>
    <w:div w:id="968588021">
      <w:bodyDiv w:val="1"/>
      <w:marLeft w:val="0"/>
      <w:marRight w:val="0"/>
      <w:marTop w:val="0"/>
      <w:marBottom w:val="0"/>
      <w:divBdr>
        <w:top w:val="none" w:sz="0" w:space="0" w:color="auto"/>
        <w:left w:val="none" w:sz="0" w:space="0" w:color="auto"/>
        <w:bottom w:val="none" w:sz="0" w:space="0" w:color="auto"/>
        <w:right w:val="none" w:sz="0" w:space="0" w:color="auto"/>
      </w:divBdr>
    </w:div>
    <w:div w:id="997417560">
      <w:bodyDiv w:val="1"/>
      <w:marLeft w:val="0"/>
      <w:marRight w:val="0"/>
      <w:marTop w:val="0"/>
      <w:marBottom w:val="0"/>
      <w:divBdr>
        <w:top w:val="none" w:sz="0" w:space="0" w:color="auto"/>
        <w:left w:val="none" w:sz="0" w:space="0" w:color="auto"/>
        <w:bottom w:val="none" w:sz="0" w:space="0" w:color="auto"/>
        <w:right w:val="none" w:sz="0" w:space="0" w:color="auto"/>
      </w:divBdr>
    </w:div>
    <w:div w:id="1014652071">
      <w:bodyDiv w:val="1"/>
      <w:marLeft w:val="0"/>
      <w:marRight w:val="0"/>
      <w:marTop w:val="0"/>
      <w:marBottom w:val="0"/>
      <w:divBdr>
        <w:top w:val="none" w:sz="0" w:space="0" w:color="auto"/>
        <w:left w:val="none" w:sz="0" w:space="0" w:color="auto"/>
        <w:bottom w:val="none" w:sz="0" w:space="0" w:color="auto"/>
        <w:right w:val="none" w:sz="0" w:space="0" w:color="auto"/>
      </w:divBdr>
    </w:div>
    <w:div w:id="1053041331">
      <w:bodyDiv w:val="1"/>
      <w:marLeft w:val="0"/>
      <w:marRight w:val="0"/>
      <w:marTop w:val="0"/>
      <w:marBottom w:val="0"/>
      <w:divBdr>
        <w:top w:val="none" w:sz="0" w:space="0" w:color="auto"/>
        <w:left w:val="none" w:sz="0" w:space="0" w:color="auto"/>
        <w:bottom w:val="none" w:sz="0" w:space="0" w:color="auto"/>
        <w:right w:val="none" w:sz="0" w:space="0" w:color="auto"/>
      </w:divBdr>
    </w:div>
    <w:div w:id="1079330064">
      <w:bodyDiv w:val="1"/>
      <w:marLeft w:val="0"/>
      <w:marRight w:val="0"/>
      <w:marTop w:val="0"/>
      <w:marBottom w:val="0"/>
      <w:divBdr>
        <w:top w:val="none" w:sz="0" w:space="0" w:color="auto"/>
        <w:left w:val="none" w:sz="0" w:space="0" w:color="auto"/>
        <w:bottom w:val="none" w:sz="0" w:space="0" w:color="auto"/>
        <w:right w:val="none" w:sz="0" w:space="0" w:color="auto"/>
      </w:divBdr>
    </w:div>
    <w:div w:id="1086152476">
      <w:bodyDiv w:val="1"/>
      <w:marLeft w:val="0"/>
      <w:marRight w:val="0"/>
      <w:marTop w:val="0"/>
      <w:marBottom w:val="0"/>
      <w:divBdr>
        <w:top w:val="none" w:sz="0" w:space="0" w:color="auto"/>
        <w:left w:val="none" w:sz="0" w:space="0" w:color="auto"/>
        <w:bottom w:val="none" w:sz="0" w:space="0" w:color="auto"/>
        <w:right w:val="none" w:sz="0" w:space="0" w:color="auto"/>
      </w:divBdr>
    </w:div>
    <w:div w:id="1138767682">
      <w:bodyDiv w:val="1"/>
      <w:marLeft w:val="0"/>
      <w:marRight w:val="0"/>
      <w:marTop w:val="0"/>
      <w:marBottom w:val="0"/>
      <w:divBdr>
        <w:top w:val="none" w:sz="0" w:space="0" w:color="auto"/>
        <w:left w:val="none" w:sz="0" w:space="0" w:color="auto"/>
        <w:bottom w:val="none" w:sz="0" w:space="0" w:color="auto"/>
        <w:right w:val="none" w:sz="0" w:space="0" w:color="auto"/>
      </w:divBdr>
    </w:div>
    <w:div w:id="1193767389">
      <w:bodyDiv w:val="1"/>
      <w:marLeft w:val="0"/>
      <w:marRight w:val="0"/>
      <w:marTop w:val="0"/>
      <w:marBottom w:val="0"/>
      <w:divBdr>
        <w:top w:val="none" w:sz="0" w:space="0" w:color="auto"/>
        <w:left w:val="none" w:sz="0" w:space="0" w:color="auto"/>
        <w:bottom w:val="none" w:sz="0" w:space="0" w:color="auto"/>
        <w:right w:val="none" w:sz="0" w:space="0" w:color="auto"/>
      </w:divBdr>
    </w:div>
    <w:div w:id="1233467867">
      <w:bodyDiv w:val="1"/>
      <w:marLeft w:val="0"/>
      <w:marRight w:val="0"/>
      <w:marTop w:val="0"/>
      <w:marBottom w:val="0"/>
      <w:divBdr>
        <w:top w:val="none" w:sz="0" w:space="0" w:color="auto"/>
        <w:left w:val="none" w:sz="0" w:space="0" w:color="auto"/>
        <w:bottom w:val="none" w:sz="0" w:space="0" w:color="auto"/>
        <w:right w:val="none" w:sz="0" w:space="0" w:color="auto"/>
      </w:divBdr>
    </w:div>
    <w:div w:id="1237938368">
      <w:bodyDiv w:val="1"/>
      <w:marLeft w:val="0"/>
      <w:marRight w:val="0"/>
      <w:marTop w:val="0"/>
      <w:marBottom w:val="0"/>
      <w:divBdr>
        <w:top w:val="none" w:sz="0" w:space="0" w:color="auto"/>
        <w:left w:val="none" w:sz="0" w:space="0" w:color="auto"/>
        <w:bottom w:val="none" w:sz="0" w:space="0" w:color="auto"/>
        <w:right w:val="none" w:sz="0" w:space="0" w:color="auto"/>
      </w:divBdr>
    </w:div>
    <w:div w:id="1285193271">
      <w:bodyDiv w:val="1"/>
      <w:marLeft w:val="0"/>
      <w:marRight w:val="0"/>
      <w:marTop w:val="0"/>
      <w:marBottom w:val="0"/>
      <w:divBdr>
        <w:top w:val="none" w:sz="0" w:space="0" w:color="auto"/>
        <w:left w:val="none" w:sz="0" w:space="0" w:color="auto"/>
        <w:bottom w:val="none" w:sz="0" w:space="0" w:color="auto"/>
        <w:right w:val="none" w:sz="0" w:space="0" w:color="auto"/>
      </w:divBdr>
    </w:div>
    <w:div w:id="1312323061">
      <w:bodyDiv w:val="1"/>
      <w:marLeft w:val="0"/>
      <w:marRight w:val="0"/>
      <w:marTop w:val="0"/>
      <w:marBottom w:val="0"/>
      <w:divBdr>
        <w:top w:val="none" w:sz="0" w:space="0" w:color="auto"/>
        <w:left w:val="none" w:sz="0" w:space="0" w:color="auto"/>
        <w:bottom w:val="none" w:sz="0" w:space="0" w:color="auto"/>
        <w:right w:val="none" w:sz="0" w:space="0" w:color="auto"/>
      </w:divBdr>
    </w:div>
    <w:div w:id="1326128227">
      <w:bodyDiv w:val="1"/>
      <w:marLeft w:val="0"/>
      <w:marRight w:val="0"/>
      <w:marTop w:val="0"/>
      <w:marBottom w:val="0"/>
      <w:divBdr>
        <w:top w:val="none" w:sz="0" w:space="0" w:color="auto"/>
        <w:left w:val="none" w:sz="0" w:space="0" w:color="auto"/>
        <w:bottom w:val="none" w:sz="0" w:space="0" w:color="auto"/>
        <w:right w:val="none" w:sz="0" w:space="0" w:color="auto"/>
      </w:divBdr>
    </w:div>
    <w:div w:id="1341809787">
      <w:bodyDiv w:val="1"/>
      <w:marLeft w:val="0"/>
      <w:marRight w:val="0"/>
      <w:marTop w:val="0"/>
      <w:marBottom w:val="0"/>
      <w:divBdr>
        <w:top w:val="none" w:sz="0" w:space="0" w:color="auto"/>
        <w:left w:val="none" w:sz="0" w:space="0" w:color="auto"/>
        <w:bottom w:val="none" w:sz="0" w:space="0" w:color="auto"/>
        <w:right w:val="none" w:sz="0" w:space="0" w:color="auto"/>
      </w:divBdr>
    </w:div>
    <w:div w:id="1354575571">
      <w:bodyDiv w:val="1"/>
      <w:marLeft w:val="0"/>
      <w:marRight w:val="0"/>
      <w:marTop w:val="0"/>
      <w:marBottom w:val="0"/>
      <w:divBdr>
        <w:top w:val="none" w:sz="0" w:space="0" w:color="auto"/>
        <w:left w:val="none" w:sz="0" w:space="0" w:color="auto"/>
        <w:bottom w:val="none" w:sz="0" w:space="0" w:color="auto"/>
        <w:right w:val="none" w:sz="0" w:space="0" w:color="auto"/>
      </w:divBdr>
    </w:div>
    <w:div w:id="1375891627">
      <w:bodyDiv w:val="1"/>
      <w:marLeft w:val="0"/>
      <w:marRight w:val="0"/>
      <w:marTop w:val="0"/>
      <w:marBottom w:val="0"/>
      <w:divBdr>
        <w:top w:val="none" w:sz="0" w:space="0" w:color="auto"/>
        <w:left w:val="none" w:sz="0" w:space="0" w:color="auto"/>
        <w:bottom w:val="none" w:sz="0" w:space="0" w:color="auto"/>
        <w:right w:val="none" w:sz="0" w:space="0" w:color="auto"/>
      </w:divBdr>
    </w:div>
    <w:div w:id="1422527722">
      <w:bodyDiv w:val="1"/>
      <w:marLeft w:val="0"/>
      <w:marRight w:val="0"/>
      <w:marTop w:val="0"/>
      <w:marBottom w:val="0"/>
      <w:divBdr>
        <w:top w:val="none" w:sz="0" w:space="0" w:color="auto"/>
        <w:left w:val="none" w:sz="0" w:space="0" w:color="auto"/>
        <w:bottom w:val="none" w:sz="0" w:space="0" w:color="auto"/>
        <w:right w:val="none" w:sz="0" w:space="0" w:color="auto"/>
      </w:divBdr>
    </w:div>
    <w:div w:id="1427649448">
      <w:bodyDiv w:val="1"/>
      <w:marLeft w:val="0"/>
      <w:marRight w:val="0"/>
      <w:marTop w:val="0"/>
      <w:marBottom w:val="0"/>
      <w:divBdr>
        <w:top w:val="none" w:sz="0" w:space="0" w:color="auto"/>
        <w:left w:val="none" w:sz="0" w:space="0" w:color="auto"/>
        <w:bottom w:val="none" w:sz="0" w:space="0" w:color="auto"/>
        <w:right w:val="none" w:sz="0" w:space="0" w:color="auto"/>
      </w:divBdr>
    </w:div>
    <w:div w:id="1466969251">
      <w:bodyDiv w:val="1"/>
      <w:marLeft w:val="0"/>
      <w:marRight w:val="0"/>
      <w:marTop w:val="0"/>
      <w:marBottom w:val="0"/>
      <w:divBdr>
        <w:top w:val="none" w:sz="0" w:space="0" w:color="auto"/>
        <w:left w:val="none" w:sz="0" w:space="0" w:color="auto"/>
        <w:bottom w:val="none" w:sz="0" w:space="0" w:color="auto"/>
        <w:right w:val="none" w:sz="0" w:space="0" w:color="auto"/>
      </w:divBdr>
    </w:div>
    <w:div w:id="1493981268">
      <w:bodyDiv w:val="1"/>
      <w:marLeft w:val="0"/>
      <w:marRight w:val="0"/>
      <w:marTop w:val="0"/>
      <w:marBottom w:val="0"/>
      <w:divBdr>
        <w:top w:val="none" w:sz="0" w:space="0" w:color="auto"/>
        <w:left w:val="none" w:sz="0" w:space="0" w:color="auto"/>
        <w:bottom w:val="none" w:sz="0" w:space="0" w:color="auto"/>
        <w:right w:val="none" w:sz="0" w:space="0" w:color="auto"/>
      </w:divBdr>
    </w:div>
    <w:div w:id="1536772251">
      <w:bodyDiv w:val="1"/>
      <w:marLeft w:val="0"/>
      <w:marRight w:val="0"/>
      <w:marTop w:val="0"/>
      <w:marBottom w:val="0"/>
      <w:divBdr>
        <w:top w:val="none" w:sz="0" w:space="0" w:color="auto"/>
        <w:left w:val="none" w:sz="0" w:space="0" w:color="auto"/>
        <w:bottom w:val="none" w:sz="0" w:space="0" w:color="auto"/>
        <w:right w:val="none" w:sz="0" w:space="0" w:color="auto"/>
      </w:divBdr>
    </w:div>
    <w:div w:id="1555047867">
      <w:bodyDiv w:val="1"/>
      <w:marLeft w:val="0"/>
      <w:marRight w:val="0"/>
      <w:marTop w:val="0"/>
      <w:marBottom w:val="0"/>
      <w:divBdr>
        <w:top w:val="none" w:sz="0" w:space="0" w:color="auto"/>
        <w:left w:val="none" w:sz="0" w:space="0" w:color="auto"/>
        <w:bottom w:val="none" w:sz="0" w:space="0" w:color="auto"/>
        <w:right w:val="none" w:sz="0" w:space="0" w:color="auto"/>
      </w:divBdr>
    </w:div>
    <w:div w:id="1570379811">
      <w:bodyDiv w:val="1"/>
      <w:marLeft w:val="0"/>
      <w:marRight w:val="0"/>
      <w:marTop w:val="0"/>
      <w:marBottom w:val="0"/>
      <w:divBdr>
        <w:top w:val="none" w:sz="0" w:space="0" w:color="auto"/>
        <w:left w:val="none" w:sz="0" w:space="0" w:color="auto"/>
        <w:bottom w:val="none" w:sz="0" w:space="0" w:color="auto"/>
        <w:right w:val="none" w:sz="0" w:space="0" w:color="auto"/>
      </w:divBdr>
    </w:div>
    <w:div w:id="1588079461">
      <w:bodyDiv w:val="1"/>
      <w:marLeft w:val="0"/>
      <w:marRight w:val="0"/>
      <w:marTop w:val="0"/>
      <w:marBottom w:val="0"/>
      <w:divBdr>
        <w:top w:val="none" w:sz="0" w:space="0" w:color="auto"/>
        <w:left w:val="none" w:sz="0" w:space="0" w:color="auto"/>
        <w:bottom w:val="none" w:sz="0" w:space="0" w:color="auto"/>
        <w:right w:val="none" w:sz="0" w:space="0" w:color="auto"/>
      </w:divBdr>
    </w:div>
    <w:div w:id="1588684767">
      <w:bodyDiv w:val="1"/>
      <w:marLeft w:val="0"/>
      <w:marRight w:val="0"/>
      <w:marTop w:val="0"/>
      <w:marBottom w:val="0"/>
      <w:divBdr>
        <w:top w:val="none" w:sz="0" w:space="0" w:color="auto"/>
        <w:left w:val="none" w:sz="0" w:space="0" w:color="auto"/>
        <w:bottom w:val="none" w:sz="0" w:space="0" w:color="auto"/>
        <w:right w:val="none" w:sz="0" w:space="0" w:color="auto"/>
      </w:divBdr>
    </w:div>
    <w:div w:id="1657032837">
      <w:bodyDiv w:val="1"/>
      <w:marLeft w:val="0"/>
      <w:marRight w:val="0"/>
      <w:marTop w:val="0"/>
      <w:marBottom w:val="0"/>
      <w:divBdr>
        <w:top w:val="none" w:sz="0" w:space="0" w:color="auto"/>
        <w:left w:val="none" w:sz="0" w:space="0" w:color="auto"/>
        <w:bottom w:val="none" w:sz="0" w:space="0" w:color="auto"/>
        <w:right w:val="none" w:sz="0" w:space="0" w:color="auto"/>
      </w:divBdr>
    </w:div>
    <w:div w:id="1661735798">
      <w:bodyDiv w:val="1"/>
      <w:marLeft w:val="0"/>
      <w:marRight w:val="0"/>
      <w:marTop w:val="0"/>
      <w:marBottom w:val="0"/>
      <w:divBdr>
        <w:top w:val="none" w:sz="0" w:space="0" w:color="auto"/>
        <w:left w:val="none" w:sz="0" w:space="0" w:color="auto"/>
        <w:bottom w:val="none" w:sz="0" w:space="0" w:color="auto"/>
        <w:right w:val="none" w:sz="0" w:space="0" w:color="auto"/>
      </w:divBdr>
    </w:div>
    <w:div w:id="1683631939">
      <w:bodyDiv w:val="1"/>
      <w:marLeft w:val="0"/>
      <w:marRight w:val="0"/>
      <w:marTop w:val="0"/>
      <w:marBottom w:val="0"/>
      <w:divBdr>
        <w:top w:val="none" w:sz="0" w:space="0" w:color="auto"/>
        <w:left w:val="none" w:sz="0" w:space="0" w:color="auto"/>
        <w:bottom w:val="none" w:sz="0" w:space="0" w:color="auto"/>
        <w:right w:val="none" w:sz="0" w:space="0" w:color="auto"/>
      </w:divBdr>
    </w:div>
    <w:div w:id="1685083752">
      <w:bodyDiv w:val="1"/>
      <w:marLeft w:val="0"/>
      <w:marRight w:val="0"/>
      <w:marTop w:val="0"/>
      <w:marBottom w:val="0"/>
      <w:divBdr>
        <w:top w:val="none" w:sz="0" w:space="0" w:color="auto"/>
        <w:left w:val="none" w:sz="0" w:space="0" w:color="auto"/>
        <w:bottom w:val="none" w:sz="0" w:space="0" w:color="auto"/>
        <w:right w:val="none" w:sz="0" w:space="0" w:color="auto"/>
      </w:divBdr>
    </w:div>
    <w:div w:id="1700736431">
      <w:bodyDiv w:val="1"/>
      <w:marLeft w:val="0"/>
      <w:marRight w:val="0"/>
      <w:marTop w:val="0"/>
      <w:marBottom w:val="0"/>
      <w:divBdr>
        <w:top w:val="none" w:sz="0" w:space="0" w:color="auto"/>
        <w:left w:val="none" w:sz="0" w:space="0" w:color="auto"/>
        <w:bottom w:val="none" w:sz="0" w:space="0" w:color="auto"/>
        <w:right w:val="none" w:sz="0" w:space="0" w:color="auto"/>
      </w:divBdr>
    </w:div>
    <w:div w:id="1758282772">
      <w:bodyDiv w:val="1"/>
      <w:marLeft w:val="0"/>
      <w:marRight w:val="0"/>
      <w:marTop w:val="0"/>
      <w:marBottom w:val="0"/>
      <w:divBdr>
        <w:top w:val="none" w:sz="0" w:space="0" w:color="auto"/>
        <w:left w:val="none" w:sz="0" w:space="0" w:color="auto"/>
        <w:bottom w:val="none" w:sz="0" w:space="0" w:color="auto"/>
        <w:right w:val="none" w:sz="0" w:space="0" w:color="auto"/>
      </w:divBdr>
    </w:div>
    <w:div w:id="1804733277">
      <w:bodyDiv w:val="1"/>
      <w:marLeft w:val="0"/>
      <w:marRight w:val="0"/>
      <w:marTop w:val="0"/>
      <w:marBottom w:val="0"/>
      <w:divBdr>
        <w:top w:val="none" w:sz="0" w:space="0" w:color="auto"/>
        <w:left w:val="none" w:sz="0" w:space="0" w:color="auto"/>
        <w:bottom w:val="none" w:sz="0" w:space="0" w:color="auto"/>
        <w:right w:val="none" w:sz="0" w:space="0" w:color="auto"/>
      </w:divBdr>
    </w:div>
    <w:div w:id="1826697400">
      <w:bodyDiv w:val="1"/>
      <w:marLeft w:val="0"/>
      <w:marRight w:val="0"/>
      <w:marTop w:val="0"/>
      <w:marBottom w:val="0"/>
      <w:divBdr>
        <w:top w:val="none" w:sz="0" w:space="0" w:color="auto"/>
        <w:left w:val="none" w:sz="0" w:space="0" w:color="auto"/>
        <w:bottom w:val="none" w:sz="0" w:space="0" w:color="auto"/>
        <w:right w:val="none" w:sz="0" w:space="0" w:color="auto"/>
      </w:divBdr>
    </w:div>
    <w:div w:id="1846627621">
      <w:bodyDiv w:val="1"/>
      <w:marLeft w:val="0"/>
      <w:marRight w:val="0"/>
      <w:marTop w:val="0"/>
      <w:marBottom w:val="0"/>
      <w:divBdr>
        <w:top w:val="none" w:sz="0" w:space="0" w:color="auto"/>
        <w:left w:val="none" w:sz="0" w:space="0" w:color="auto"/>
        <w:bottom w:val="none" w:sz="0" w:space="0" w:color="auto"/>
        <w:right w:val="none" w:sz="0" w:space="0" w:color="auto"/>
      </w:divBdr>
    </w:div>
    <w:div w:id="1852914208">
      <w:bodyDiv w:val="1"/>
      <w:marLeft w:val="0"/>
      <w:marRight w:val="0"/>
      <w:marTop w:val="0"/>
      <w:marBottom w:val="0"/>
      <w:divBdr>
        <w:top w:val="none" w:sz="0" w:space="0" w:color="auto"/>
        <w:left w:val="none" w:sz="0" w:space="0" w:color="auto"/>
        <w:bottom w:val="none" w:sz="0" w:space="0" w:color="auto"/>
        <w:right w:val="none" w:sz="0" w:space="0" w:color="auto"/>
      </w:divBdr>
    </w:div>
    <w:div w:id="1884782388">
      <w:bodyDiv w:val="1"/>
      <w:marLeft w:val="0"/>
      <w:marRight w:val="0"/>
      <w:marTop w:val="0"/>
      <w:marBottom w:val="0"/>
      <w:divBdr>
        <w:top w:val="none" w:sz="0" w:space="0" w:color="auto"/>
        <w:left w:val="none" w:sz="0" w:space="0" w:color="auto"/>
        <w:bottom w:val="none" w:sz="0" w:space="0" w:color="auto"/>
        <w:right w:val="none" w:sz="0" w:space="0" w:color="auto"/>
      </w:divBdr>
    </w:div>
    <w:div w:id="1926525867">
      <w:bodyDiv w:val="1"/>
      <w:marLeft w:val="0"/>
      <w:marRight w:val="0"/>
      <w:marTop w:val="0"/>
      <w:marBottom w:val="0"/>
      <w:divBdr>
        <w:top w:val="none" w:sz="0" w:space="0" w:color="auto"/>
        <w:left w:val="none" w:sz="0" w:space="0" w:color="auto"/>
        <w:bottom w:val="none" w:sz="0" w:space="0" w:color="auto"/>
        <w:right w:val="none" w:sz="0" w:space="0" w:color="auto"/>
      </w:divBdr>
    </w:div>
    <w:div w:id="1979528547">
      <w:bodyDiv w:val="1"/>
      <w:marLeft w:val="0"/>
      <w:marRight w:val="0"/>
      <w:marTop w:val="0"/>
      <w:marBottom w:val="0"/>
      <w:divBdr>
        <w:top w:val="none" w:sz="0" w:space="0" w:color="auto"/>
        <w:left w:val="none" w:sz="0" w:space="0" w:color="auto"/>
        <w:bottom w:val="none" w:sz="0" w:space="0" w:color="auto"/>
        <w:right w:val="none" w:sz="0" w:space="0" w:color="auto"/>
      </w:divBdr>
    </w:div>
    <w:div w:id="2001274916">
      <w:bodyDiv w:val="1"/>
      <w:marLeft w:val="0"/>
      <w:marRight w:val="0"/>
      <w:marTop w:val="0"/>
      <w:marBottom w:val="0"/>
      <w:divBdr>
        <w:top w:val="none" w:sz="0" w:space="0" w:color="auto"/>
        <w:left w:val="none" w:sz="0" w:space="0" w:color="auto"/>
        <w:bottom w:val="none" w:sz="0" w:space="0" w:color="auto"/>
        <w:right w:val="none" w:sz="0" w:space="0" w:color="auto"/>
      </w:divBdr>
    </w:div>
    <w:div w:id="2007634081">
      <w:bodyDiv w:val="1"/>
      <w:marLeft w:val="0"/>
      <w:marRight w:val="0"/>
      <w:marTop w:val="0"/>
      <w:marBottom w:val="0"/>
      <w:divBdr>
        <w:top w:val="none" w:sz="0" w:space="0" w:color="auto"/>
        <w:left w:val="none" w:sz="0" w:space="0" w:color="auto"/>
        <w:bottom w:val="none" w:sz="0" w:space="0" w:color="auto"/>
        <w:right w:val="none" w:sz="0" w:space="0" w:color="auto"/>
      </w:divBdr>
    </w:div>
    <w:div w:id="21451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mo_quintana@hotmail.com" TargetMode="External"/><Relationship Id="rId18" Type="http://schemas.openxmlformats.org/officeDocument/2006/relationships/hyperlink" Target="https://acortar.link/I1DLE9" TargetMode="External"/><Relationship Id="rId26" Type="http://schemas.openxmlformats.org/officeDocument/2006/relationships/hyperlink" Target="https://n9.cl/9uvllm" TargetMode="External"/><Relationship Id="rId39" Type="http://schemas.openxmlformats.org/officeDocument/2006/relationships/hyperlink" Target="%20" TargetMode="External"/><Relationship Id="rId21" Type="http://schemas.openxmlformats.org/officeDocument/2006/relationships/hyperlink" Target="https://doi.org/10.1016/j.erss.2023.103316" TargetMode="External"/><Relationship Id="rId34" Type="http://schemas.openxmlformats.org/officeDocument/2006/relationships/hyperlink" Target="https://acortar.link/4RKuaN"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doi.org/10.1016/j.erss.2023.103316" TargetMode="External"/><Relationship Id="rId29" Type="http://schemas.openxmlformats.org/officeDocument/2006/relationships/hyperlink" Target="https://acortar.link/76cYTd"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oi.org/10.1093/oxrep/grad038" TargetMode="External"/><Relationship Id="rId32" Type="http://schemas.openxmlformats.org/officeDocument/2006/relationships/hyperlink" Target="https://acortar.link/f5nQpH" TargetMode="External"/><Relationship Id="rId37" Type="http://schemas.openxmlformats.org/officeDocument/2006/relationships/hyperlink" Target="https://acortar.link/mew4rj" TargetMode="External"/><Relationship Id="rId40" Type="http://schemas.openxmlformats.org/officeDocument/2006/relationships/hyperlink" Target="https://acortar.link/7B9Z9t"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5281/zenodo.8169472" TargetMode="External"/><Relationship Id="rId28" Type="http://schemas.openxmlformats.org/officeDocument/2006/relationships/hyperlink" Target="https://acortar.link/Hi1Cv0" TargetMode="External"/><Relationship Id="rId36" Type="http://schemas.openxmlformats.org/officeDocument/2006/relationships/hyperlink" Target="https://doi.org/10.1142/7895" TargetMode="External"/><Relationship Id="rId10" Type="http://schemas.openxmlformats.org/officeDocument/2006/relationships/endnotes" Target="endnotes.xml"/><Relationship Id="rId19" Type="http://schemas.openxmlformats.org/officeDocument/2006/relationships/hyperlink" Target="https://acortar.link/OqmyDF" TargetMode="External"/><Relationship Id="rId31" Type="http://schemas.openxmlformats.org/officeDocument/2006/relationships/hyperlink" Target="https://doi.org/10.18543/YBXZ23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acortar.link/B11NIQ" TargetMode="External"/><Relationship Id="rId27" Type="http://schemas.openxmlformats.org/officeDocument/2006/relationships/hyperlink" Target="https://acortar.link/51zhWd" TargetMode="External"/><Relationship Id="rId30" Type="http://schemas.openxmlformats.org/officeDocument/2006/relationships/hyperlink" Target="https://doi.org/10.18543/YBXZ2300" TargetMode="External"/><Relationship Id="rId35" Type="http://schemas.openxmlformats.org/officeDocument/2006/relationships/hyperlink" Target="https://acortar.link/MZhTk8"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acortar.link/dbQlwm" TargetMode="External"/><Relationship Id="rId25" Type="http://schemas.openxmlformats.org/officeDocument/2006/relationships/hyperlink" Target="%20" TargetMode="External"/><Relationship Id="rId33" Type="http://schemas.openxmlformats.org/officeDocument/2006/relationships/hyperlink" Target="https://doi.org/10.3389/fenrg.2024.1430413" TargetMode="External"/><Relationship Id="rId38" Type="http://schemas.openxmlformats.org/officeDocument/2006/relationships/hyperlink" Target="https://acortar.link/jVuLU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legalcod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u\AppData\Roaming\Microsoft\Templates\Curr&#237;culum%20v&#237;tae%20azul%20y%20gr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Alv24</b:Tag>
    <b:SourceType>JournalArticle</b:SourceType>
    <b:Guid>{FC98F4FF-EFE8-4684-89DA-9A12418F8A93}</b:Guid>
    <b:Title>LA SENSIBILIZACIÓN ESTÉTICO-AMBIENTAL:una herramienta educacional de cambio y sensibilización</b:Title>
    <b:Year>2024</b:Year>
    <b:Author>
      <b:Author>
        <b:NameList>
          <b:Person>
            <b:Last>Estevez Alvarez</b:Last>
            <b:First>Lurima</b:First>
          </b:Person>
        </b:NameList>
      </b:Author>
    </b:Author>
    <b:JournalName>Momentos diálogos en educación</b:JournalName>
    <b:Pages>102-122</b:Pages>
    <b:Volume>33</b:Volume>
    <b:Issue>3</b:Issue>
    <b:YearAccessed>2025</b:YearAccessed>
    <b:MonthAccessed>07</b:MonthAccessed>
    <b:DayAccessed>24</b:DayAccessed>
    <b:URL>https://periodicos.furg.br/momento/article/view/17002/11421</b:URL>
    <b:RefOrder>2</b:RefOrder>
  </b:Source>
  <b:Source>
    <b:Tag>Rev25</b:Tag>
    <b:SourceType>JournalArticle</b:SourceType>
    <b:Guid>{DEDE904B-70DC-4A33-8B19-313FFD91C503}</b:Guid>
    <b:Author>
      <b:Author>
        <b:NameList>
          <b:Person>
            <b:Last>Plaza Reveco</b:Last>
            <b:First>Rafael</b:First>
          </b:Person>
        </b:NameList>
      </b:Author>
    </b:Author>
    <b:Title>Los nuevos desafíos de Chile en la gestión ambiental de los pasivos mineros</b:Title>
    <b:JournalName>Derecho administrativo</b:JournalName>
    <b:Year>2025</b:Year>
    <b:Pages>330-343</b:Pages>
    <b:Issue>41</b:Issue>
    <b:YearAccessed>2025</b:YearAccessed>
    <b:MonthAccessed>07</b:MonthAccessed>
    <b:DayAccessed>24</b:DayAccessed>
    <b:URL>https://revistaingenieriaconstruccion.uc.cl/index.php/REDAE/article/view/94462/70778</b:URL>
    <b:DOI>https://doi.org/10.7764/redad.41.27</b:DOI>
    <b:RefOrder>1</b:RefOrder>
  </b:Source>
  <b:Source>
    <b:Tag>Las24</b:Tag>
    <b:SourceType>JournalArticle</b:SourceType>
    <b:Guid>{F4C9C042-7682-42AD-9F53-97A4F9B0930D}</b:Guid>
    <b:Title>La situación ambiental en Venezuela: una mirada desde los medios de comunicación</b:Title>
    <b:JournalName>Clima 21</b:JournalName>
    <b:Year>2024</b:Year>
    <b:Pages>1-14</b:Pages>
    <b:YearAccessed>2025</b:YearAccessed>
    <b:MonthAccessed>07</b:MonthAccessed>
    <b:DayAccessed>25</b:DayAccessed>
    <b:URL>chrome-extension://efaidnbmnnnibpcajpcglclefindmkaj/https://clima21.net/wp-content/uploads/2024/08/La-situacion-ambiental-de-Venezuela-FINAL.pdf</b:URL>
    <b:Author>
      <b:Author>
        <b:NameList>
          <b:Person>
            <b:Last>Suárez Pina</b:Last>
            <b:First>Rosmina</b:First>
          </b:Person>
          <b:Person>
            <b:Last>Álvarez Ragorry</b:Last>
            <b:First>Alejandro</b:First>
          </b:Person>
        </b:NameList>
      </b:Author>
    </b:Author>
    <b:RefOrder>4</b:RefOrder>
  </b:Source>
  <b:Source>
    <b:Tag>Jor19</b:Tag>
    <b:SourceType>JournalArticle</b:SourceType>
    <b:Guid>{F7D68A8F-D178-481A-9AF3-53A2559E83AB}</b:Guid>
    <b:Title>Efectos físicos de la contaminación atmosférica percibidos de manera inconsciente por la ciudadanía, en el área metropolitana de la ciudad de Monterrey, Nuevo León, México</b:Title>
    <b:JournalName>Scientific Electronic Library Online</b:JournalName>
    <b:Year>2019</b:Year>
    <b:Author>
      <b:Author>
        <b:NameList>
          <b:Person>
            <b:Last>Leal-Iga</b:Last>
            <b:First>Jorge</b:First>
          </b:Person>
        </b:NameList>
      </b:Author>
    </b:Author>
    <b:City>México</b:City>
    <b:YearAccessed>2025</b:YearAccessed>
    <b:MonthAccessed>07</b:MonthAccessed>
    <b:DayAccessed>25</b:DayAccessed>
    <b:URL>chrome-extension://efaidnbmnnnibpcajpcglclefindmkaj/https://www.scielosp.org/pdf/rsap/2019.v21n4/423-429/es</b:URL>
    <b:RefOrder>5</b:RefOrder>
  </b:Source>
  <b:Source>
    <b:Tag>San21</b:Tag>
    <b:SourceType>JournalArticle</b:SourceType>
    <b:Guid>{74F9201A-9E8C-4FB0-B131-437DD3297A9B}</b:Guid>
    <b:Title>Educación Ambiental y Movilización del Conocimiento: Un estudio de caso del curso de Licenciatura en Educación del Campo de la Universidad Federal do Recôncavo da Bahia-Brasil</b:Title>
    <b:JournalName>Brazilian Journal of Development, Curitiba</b:JournalName>
    <b:Year>2021</b:Year>
    <b:Pages>121253-121277</b:Pages>
    <b:Author>
      <b:Author>
        <b:NameList>
          <b:Person>
            <b:Last>Sandes</b:Last>
            <b:First>André</b:First>
            <b:Middle>B.</b:Middle>
          </b:Person>
          <b:Person>
            <b:Last>Calixto Flores</b:Last>
            <b:First>Raúl</b:First>
          </b:Person>
        </b:NameList>
      </b:Author>
    </b:Author>
    <b:City>Raúl Calixto-Flores</b:City>
    <b:YearAccessed>2025</b:YearAccessed>
    <b:MonthAccessed>07</b:MonthAccessed>
    <b:DayAccessed>25</b:DayAccessed>
    <b:URL>file:///D:/Descargas/42116-105404-1-PB.pdf</b:URL>
    <b:RefOrder>6</b:RefOrder>
  </b:Source>
  <b:Source>
    <b:Tag>Lah24</b:Tag>
    <b:SourceType>JournalArticle</b:SourceType>
    <b:Guid>{4D6150CF-134B-48B5-8A2E-AB58030075CF}</b:Guid>
    <b:Author>
      <b:Author>
        <b:NameList>
          <b:Person>
            <b:Last>Molina Lahuana</b:Last>
            <b:First>Lizbet</b:First>
            <b:Middle>Katia</b:Middle>
          </b:Person>
          <b:Person>
            <b:Last>Chumpitaz Panta</b:Last>
            <b:First>Javier</b:First>
          </b:Person>
          <b:Person>
            <b:Last>Rojas Garrido</b:Last>
            <b:First>Lesvy</b:First>
            <b:Middle>Celinda</b:Middle>
          </b:Person>
          <b:Person>
            <b:Last>Romero Echevarría</b:Last>
            <b:First>Luis</b:First>
            <b:Middle>Miguel</b:Middle>
          </b:Person>
        </b:NameList>
      </b:Author>
    </b:Author>
    <b:Title>Competencias de conciencia ambiental en estudiantes universitarios del Perú. Una propuesta didáctica</b:Title>
    <b:JournalName>Uisrael</b:JournalName>
    <b:Year>2024</b:Year>
    <b:Pages>139-429</b:Pages>
    <b:Volume>11</b:Volume>
    <b:Issue>1</b:Issue>
    <b:YearAccessed>2025</b:YearAccessed>
    <b:MonthAccessed>07</b:MonthAccessed>
    <b:DayAccessed>25</b:DayAccessed>
    <b:URL>chrome-extension://efaidnbmnnnibpcajpcglclefindmkaj/http://scielo.senescyt.gob.ec/pdf/rcuisrael/v11n1/2631-2786-rcuisrael-11-01-00139.pdf</b:URL>
    <b:RefOrder>7</b:RefOrder>
  </b:Source>
  <b:Source>
    <b:Tag>Cue14</b:Tag>
    <b:SourceType>JournalArticle</b:SourceType>
    <b:Guid>{0089C4C6-B1DD-4101-94CE-86EDDEBBDD1E}</b:Guid>
    <b:Author>
      <b:Author>
        <b:NameList>
          <b:Person>
            <b:Last>Romero Cuevas</b:Last>
            <b:First>Rosa</b:First>
            <b:Middle>María</b:Middle>
          </b:Person>
        </b:NameList>
      </b:Author>
    </b:Author>
    <b:Title>Algunos obtáculos y perstectivas de la de la Educación Ambiental</b:Title>
    <b:Year>2014</b:Year>
    <b:City>México</b:City>
    <b:YearAccessed>2025</b:YearAccessed>
    <b:MonthAccessed>07</b:MonthAccessed>
    <b:DayAccessed>25</b:DayAccessed>
    <b:URL>https://www.miteco.gob.es/content/dam/miteco/es/ceneam/articulos-de-opinion/2014-6-Romero%20Cuevas_tcm30-163606.pdf</b:URL>
    <b:RefOrder>3</b:RefOrder>
  </b:Source>
  <b:Source>
    <b:Tag>Riv23</b:Tag>
    <b:SourceType>JournalArticle</b:SourceType>
    <b:Guid>{D15D8E07-4810-498B-9768-42F67FE13961}</b:Guid>
    <b:Author>
      <b:Author>
        <b:NameList>
          <b:Person>
            <b:Last>Rivas Manay</b:Last>
            <b:First>Roberth</b:First>
            <b:Middle>Manuel</b:Middle>
          </b:Person>
          <b:Person>
            <b:Last>Antenor Vásquez Muñoz</b:Last>
            <b:First>Antenor</b:First>
          </b:Person>
          <b:Person>
            <b:Last>Morales Huaman</b:Last>
            <b:First>Humberto</b:First>
            <b:Middle>Iván</b:Middle>
          </b:Person>
          <b:Person>
            <b:Last>Silva Siesquen</b:Last>
            <b:First>Jose</b:First>
            <b:Middle>Alberto</b:Middle>
          </b:Person>
        </b:NameList>
      </b:Author>
    </b:Author>
    <b:Title>Contribución de la educación ambiental ante el cambio climático en la región Lambayeque</b:Title>
    <b:JournalName>Hacedor</b:JournalName>
    <b:Year>2023</b:Year>
    <b:Pages>62-73</b:Pages>
    <b:Volume>7</b:Volume>
    <b:Issue>2</b:Issue>
    <b:YearAccessed>2025</b:YearAccessed>
    <b:MonthAccessed>07</b:MonthAccessed>
    <b:DayAccessed>25</b:DayAccessed>
    <b:URL>https://revistas.uss.edu.pe/index.php/HACEDOR/article/view/2520/2974</b:URL>
    <b:RefOrder>8</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E68C79-0874-40DB-9B93-90A20F073ED3}">
  <ds:schemaRefs>
    <ds:schemaRef ds:uri="http://schemas.openxmlformats.org/officeDocument/2006/bibliography"/>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Currículum vítae azul y gris</Template>
  <TotalTime>54</TotalTime>
  <Pages>15</Pages>
  <Words>6552</Words>
  <Characters>41094</Characters>
  <Application>Microsoft Office Word</Application>
  <DocSecurity>0</DocSecurity>
  <Lines>812</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Editor</cp:lastModifiedBy>
  <cp:revision>35</cp:revision>
  <cp:lastPrinted>2025-03-29T19:29:00Z</cp:lastPrinted>
  <dcterms:created xsi:type="dcterms:W3CDTF">2026-03-14T16:25:00Z</dcterms:created>
  <dcterms:modified xsi:type="dcterms:W3CDTF">2026-03-14T21:17:00Z</dcterms:modified>
</cp:coreProperties>
</file>